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6D85" w:rsidRDefault="00726D85" w:rsidP="00726D85">
      <w:pPr>
        <w:rPr>
          <w:rFonts w:ascii="MEPS Bookman WTS" w:eastAsia="Segoe UI" w:hAnsi="MEPS Bookman WTS" w:cs="Segoe UI"/>
        </w:rPr>
      </w:pPr>
      <w:bookmarkStart w:id="0" w:name="_GoBack"/>
      <w:bookmarkEnd w:id="0"/>
      <w:r>
        <w:rPr>
          <w:rFonts w:eastAsia="Segoe UI" w:cs="Arial"/>
          <w:b/>
        </w:rPr>
        <w:t xml:space="preserve">27:1 </w:t>
      </w:r>
      <w:r>
        <w:rPr>
          <w:rFonts w:eastAsia="Segoe UI" w:cs="Arial"/>
        </w:rPr>
        <w:t>“You will make the altar of acacia wood;</w:t>
      </w:r>
      <w:r w:rsidR="00E806E3">
        <w:rPr>
          <w:rStyle w:val="EndnoteReference"/>
          <w:rFonts w:eastAsia="Segoe UI" w:cs="Arial"/>
        </w:rPr>
        <w:endnoteReference w:id="1"/>
      </w:r>
      <w:r>
        <w:rPr>
          <w:rFonts w:eastAsia="Segoe UI" w:cs="Arial"/>
        </w:rPr>
        <w:t xml:space="preserve"> it will be five cubits</w:t>
      </w:r>
      <w:r w:rsidR="00E806E3">
        <w:rPr>
          <w:rStyle w:val="FootnoteReference"/>
          <w:rFonts w:eastAsia="Segoe UI" w:cs="Arial"/>
        </w:rPr>
        <w:footnoteReference w:id="1"/>
      </w:r>
      <w:r>
        <w:rPr>
          <w:rFonts w:eastAsia="Segoe UI" w:cs="Arial"/>
        </w:rPr>
        <w:t xml:space="preserve"> long and five cubits wide. The altar should be square and three cubits high.</w:t>
      </w:r>
      <w:r w:rsidR="00E806E3">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You will make horns</w:t>
      </w:r>
      <w:r w:rsidR="00E806E3">
        <w:rPr>
          <w:rStyle w:val="EndnoteReference"/>
          <w:rFonts w:eastAsia="Segoe UI" w:cs="Arial"/>
        </w:rPr>
        <w:endnoteReference w:id="3"/>
      </w:r>
      <w:r>
        <w:rPr>
          <w:rFonts w:eastAsia="Segoe UI" w:cs="Arial"/>
        </w:rPr>
        <w:t xml:space="preserve"> on its four corners; the horns will be part of the altar, and you will overlay the altar with copper.</w:t>
      </w:r>
      <w:r w:rsidR="00E806E3">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You will make buckets for clearing away its ashes,</w:t>
      </w:r>
      <w:r w:rsidR="00E806E3">
        <w:rPr>
          <w:rStyle w:val="FootnoteReference"/>
          <w:rFonts w:eastAsia="Segoe UI" w:cs="Arial"/>
        </w:rPr>
        <w:footnoteReference w:id="2"/>
      </w:r>
      <w:r>
        <w:rPr>
          <w:rFonts w:eastAsia="Segoe UI" w:cs="Arial"/>
        </w:rPr>
        <w:t xml:space="preserve"> along with shovels, bowls, forks, and fire holders, and you will make all its utensils of copper.</w:t>
      </w:r>
      <w:r w:rsidR="00E806E3">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 xml:space="preserve">You will make a grating for the altar, a network of copper, and on the network four rings of copper at its four corners. </w:t>
      </w:r>
      <w:r>
        <w:rPr>
          <w:rFonts w:eastAsia="Segoe UI" w:cs="Arial"/>
          <w:b/>
        </w:rPr>
        <w:t xml:space="preserve">5 </w:t>
      </w:r>
      <w:r>
        <w:rPr>
          <w:rFonts w:eastAsia="Segoe UI" w:cs="Arial"/>
        </w:rPr>
        <w:t xml:space="preserve">You will set it down below the rim of the altar, and the network will extend partway down into the altar. </w:t>
      </w:r>
      <w:r>
        <w:rPr>
          <w:rFonts w:eastAsia="Segoe UI" w:cs="Arial"/>
          <w:b/>
        </w:rPr>
        <w:t xml:space="preserve">6 </w:t>
      </w:r>
      <w:r>
        <w:rPr>
          <w:rFonts w:eastAsia="Segoe UI" w:cs="Arial"/>
        </w:rPr>
        <w:t xml:space="preserve">You will make poles of acacia wood for the altar and overlay them with copper. </w:t>
      </w:r>
      <w:r>
        <w:rPr>
          <w:rFonts w:eastAsia="Segoe UI" w:cs="Arial"/>
          <w:b/>
        </w:rPr>
        <w:t xml:space="preserve">7 </w:t>
      </w:r>
      <w:r>
        <w:rPr>
          <w:rFonts w:eastAsia="Segoe UI" w:cs="Arial"/>
        </w:rPr>
        <w:t>The poles will be inserted into the rings so that the poles are on the two sides of the altar when it is carried.</w:t>
      </w:r>
      <w:r w:rsidR="00E806E3">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8 </w:t>
      </w:r>
      <w:r>
        <w:rPr>
          <w:rFonts w:eastAsia="Segoe UI" w:cs="Arial"/>
        </w:rPr>
        <w:t>You will make the altar in the form of a hollow chest of planks. It should be made just as He showed you on the mountain.</w:t>
      </w:r>
      <w:r w:rsidR="00E806E3">
        <w:rPr>
          <w:rStyle w:val="EndnoteReference"/>
          <w:rFonts w:eastAsia="Segoe UI" w:cs="Arial"/>
        </w:rPr>
        <w:endnoteReference w:id="7"/>
      </w:r>
    </w:p>
    <w:p w:rsidR="00726D85" w:rsidRDefault="00726D85" w:rsidP="00726D85">
      <w:pPr>
        <w:rPr>
          <w:rFonts w:eastAsia="Segoe UI" w:cs="Arial"/>
        </w:rPr>
      </w:pPr>
      <w:r>
        <w:rPr>
          <w:rFonts w:eastAsia="Segoe UI" w:cs="Arial"/>
          <w:b/>
        </w:rPr>
        <w:t xml:space="preserve">9 </w:t>
      </w:r>
      <w:r>
        <w:rPr>
          <w:rFonts w:eastAsia="Segoe UI" w:cs="Arial"/>
        </w:rPr>
        <w:t>“You will make the courtyard</w:t>
      </w:r>
      <w:r w:rsidR="00E806E3">
        <w:rPr>
          <w:rStyle w:val="EndnoteReference"/>
          <w:rFonts w:eastAsia="Segoe UI" w:cs="Arial"/>
        </w:rPr>
        <w:endnoteReference w:id="8"/>
      </w:r>
      <w:r>
        <w:rPr>
          <w:rFonts w:eastAsia="Segoe UI" w:cs="Arial"/>
        </w:rPr>
        <w:t xml:space="preserve"> of the tabernacle. For the south side, facing south, the courtyard will have hanging curtains of fine twisted linen, 100 cubits long for the one side.</w:t>
      </w:r>
      <w:r w:rsidR="00E806E3">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10 </w:t>
      </w:r>
      <w:r>
        <w:rPr>
          <w:rFonts w:eastAsia="Segoe UI" w:cs="Arial"/>
        </w:rPr>
        <w:t>It will have 20 pillars with 20 copper socket pedestals. The hooks of the pillars and their connectors</w:t>
      </w:r>
      <w:r w:rsidR="00E806E3">
        <w:rPr>
          <w:rStyle w:val="FootnoteReference"/>
          <w:rFonts w:eastAsia="Segoe UI" w:cs="Arial"/>
        </w:rPr>
        <w:footnoteReference w:id="3"/>
      </w:r>
      <w:r>
        <w:rPr>
          <w:rFonts w:eastAsia="Segoe UI" w:cs="Arial"/>
        </w:rPr>
        <w:t xml:space="preserve"> are of silver. </w:t>
      </w:r>
      <w:r>
        <w:rPr>
          <w:rFonts w:eastAsia="Segoe UI" w:cs="Arial"/>
          <w:b/>
        </w:rPr>
        <w:t xml:space="preserve">11 </w:t>
      </w:r>
      <w:r>
        <w:rPr>
          <w:rFonts w:eastAsia="Segoe UI" w:cs="Arial"/>
        </w:rPr>
        <w:t>The hanging curtains for the north side will also be 100 cubits long, along with its 20 pillars and their 20 copper socket pedestals, with silver hooks and connectors</w:t>
      </w:r>
      <w:r w:rsidR="00E806E3">
        <w:rPr>
          <w:rStyle w:val="FootnoteReference"/>
          <w:rFonts w:eastAsia="Segoe UI" w:cs="Arial"/>
        </w:rPr>
        <w:footnoteReference w:id="4"/>
      </w:r>
      <w:r>
        <w:rPr>
          <w:rFonts w:eastAsia="Segoe UI" w:cs="Arial"/>
        </w:rPr>
        <w:t xml:space="preserve"> for the pillars. </w:t>
      </w:r>
      <w:r>
        <w:rPr>
          <w:rFonts w:eastAsia="Segoe UI" w:cs="Arial"/>
          <w:b/>
        </w:rPr>
        <w:t xml:space="preserve">12 </w:t>
      </w:r>
      <w:r>
        <w:rPr>
          <w:rFonts w:eastAsia="Segoe UI" w:cs="Arial"/>
        </w:rPr>
        <w:t xml:space="preserve">There are to be hanging curtains on the west side for 50 cubits across the width of the courtyard, with ten pillars and ten socket pedestals. </w:t>
      </w:r>
      <w:r>
        <w:rPr>
          <w:rFonts w:eastAsia="Segoe UI" w:cs="Arial"/>
          <w:b/>
        </w:rPr>
        <w:t xml:space="preserve">13 </w:t>
      </w:r>
      <w:r>
        <w:rPr>
          <w:rFonts w:eastAsia="Segoe UI" w:cs="Arial"/>
        </w:rPr>
        <w:t xml:space="preserve">The width of the courtyard on the east side toward the sunrise is 50 cubits. </w:t>
      </w:r>
      <w:r>
        <w:rPr>
          <w:rFonts w:eastAsia="Segoe UI" w:cs="Arial"/>
          <w:b/>
        </w:rPr>
        <w:t xml:space="preserve">14 </w:t>
      </w:r>
      <w:r>
        <w:rPr>
          <w:rFonts w:eastAsia="Segoe UI" w:cs="Arial"/>
        </w:rPr>
        <w:t>There will be 15 cubits of hanging curtains on the one side, with three pillars and three socket pedestals.</w:t>
      </w:r>
      <w:r w:rsidR="00E806E3">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15 </w:t>
      </w:r>
      <w:r>
        <w:rPr>
          <w:rFonts w:eastAsia="Segoe UI" w:cs="Arial"/>
        </w:rPr>
        <w:t>And for the other side, there will be 15 cubits of hanging curtains, with three pillars and three socket pedestals.</w:t>
      </w:r>
    </w:p>
    <w:p w:rsidR="00726D85" w:rsidRDefault="00726D85" w:rsidP="00726D85">
      <w:pPr>
        <w:rPr>
          <w:rFonts w:ascii="MEPS Bookman WTS" w:eastAsia="Segoe UI" w:hAnsi="MEPS Bookman WTS" w:cs="Segoe UI"/>
        </w:rPr>
      </w:pPr>
      <w:r>
        <w:rPr>
          <w:rFonts w:eastAsia="Segoe UI" w:cs="Arial"/>
          <w:b/>
        </w:rPr>
        <w:t xml:space="preserve">16 </w:t>
      </w:r>
      <w:r>
        <w:rPr>
          <w:rFonts w:eastAsia="Segoe UI" w:cs="Arial"/>
        </w:rPr>
        <w:t>“The entrance of the courtyard should have a screen</w:t>
      </w:r>
      <w:r w:rsidR="00E806E3">
        <w:rPr>
          <w:rStyle w:val="FootnoteReference"/>
          <w:rFonts w:eastAsia="Segoe UI" w:cs="Arial"/>
        </w:rPr>
        <w:footnoteReference w:id="5"/>
      </w:r>
      <w:r>
        <w:rPr>
          <w:rFonts w:eastAsia="Segoe UI" w:cs="Arial"/>
        </w:rPr>
        <w:t xml:space="preserve"> 20 cubits long made of blue thread, purple wool, scarlet material, and fine twisted linen woven together,</w:t>
      </w:r>
      <w:r w:rsidR="00E806E3">
        <w:rPr>
          <w:rStyle w:val="EndnoteReference"/>
          <w:rFonts w:eastAsia="Segoe UI" w:cs="Arial"/>
        </w:rPr>
        <w:endnoteReference w:id="11"/>
      </w:r>
      <w:r>
        <w:rPr>
          <w:rFonts w:eastAsia="Segoe UI" w:cs="Arial"/>
        </w:rPr>
        <w:t xml:space="preserve"> with four pillars and their four socket pedestals.</w:t>
      </w:r>
      <w:r w:rsidR="00E806E3">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17 </w:t>
      </w:r>
      <w:r>
        <w:rPr>
          <w:rFonts w:eastAsia="Segoe UI" w:cs="Arial"/>
        </w:rPr>
        <w:t>All the pillars surrounding the courtyard will have silver fasteners and silver hooks, but their socket pedestals will be of copper.</w:t>
      </w:r>
      <w:r w:rsidR="00E806E3">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18 </w:t>
      </w:r>
      <w:r>
        <w:rPr>
          <w:rFonts w:eastAsia="Segoe UI" w:cs="Arial"/>
        </w:rPr>
        <w:t>The courtyard is to be 100 cubits long,</w:t>
      </w:r>
      <w:r w:rsidR="00E806E3">
        <w:rPr>
          <w:rStyle w:val="EndnoteReference"/>
          <w:rFonts w:eastAsia="Segoe UI" w:cs="Arial"/>
        </w:rPr>
        <w:endnoteReference w:id="14"/>
      </w:r>
      <w:r>
        <w:rPr>
          <w:rFonts w:eastAsia="Segoe UI" w:cs="Arial"/>
        </w:rPr>
        <w:t xml:space="preserve"> 50 cubits wide, and 5 cubits high, made from fine twisted linen, and it should have copper socket pedestals. </w:t>
      </w:r>
      <w:r>
        <w:rPr>
          <w:rFonts w:eastAsia="Segoe UI" w:cs="Arial"/>
          <w:b/>
        </w:rPr>
        <w:t xml:space="preserve">19 </w:t>
      </w:r>
      <w:r>
        <w:rPr>
          <w:rFonts w:eastAsia="Segoe UI" w:cs="Arial"/>
        </w:rPr>
        <w:t>All the utensils and the items used in the service of the tabernacle, as well as its tent pins and all the pins of the courtyard, are to be of copper.</w:t>
      </w:r>
      <w:r w:rsidR="00E806E3">
        <w:rPr>
          <w:rStyle w:val="EndnoteReference"/>
          <w:rFonts w:eastAsia="Segoe UI" w:cs="Arial"/>
        </w:rPr>
        <w:endnoteReference w:id="15"/>
      </w:r>
    </w:p>
    <w:p w:rsidR="00726D85" w:rsidRDefault="00726D85" w:rsidP="00726D85">
      <w:pPr>
        <w:rPr>
          <w:rFonts w:ascii="MEPS Bookman WTS" w:eastAsia="Segoe UI" w:hAnsi="MEPS Bookman WTS" w:cs="Segoe UI"/>
        </w:rPr>
      </w:pPr>
      <w:r>
        <w:rPr>
          <w:rFonts w:eastAsia="Segoe UI" w:cs="Arial"/>
          <w:b/>
        </w:rPr>
        <w:t xml:space="preserve">20 </w:t>
      </w:r>
      <w:r>
        <w:rPr>
          <w:rFonts w:eastAsia="Segoe UI" w:cs="Arial"/>
        </w:rPr>
        <w:t>“You are to command the Israelites to bring you pure, beaten olive oil for the lighting, in order to keep the lamps burning constantly.</w:t>
      </w:r>
      <w:r w:rsidR="00E806E3">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21 </w:t>
      </w:r>
      <w:r>
        <w:rPr>
          <w:rFonts w:eastAsia="Segoe UI" w:cs="Arial"/>
        </w:rPr>
        <w:t>In the tent of meeting, outside the curtain that is near the Testimony,</w:t>
      </w:r>
      <w:r w:rsidR="00E806E3">
        <w:rPr>
          <w:rStyle w:val="EndnoteReference"/>
          <w:rFonts w:eastAsia="Segoe UI" w:cs="Arial"/>
        </w:rPr>
        <w:endnoteReference w:id="17"/>
      </w:r>
      <w:r>
        <w:rPr>
          <w:rFonts w:eastAsia="Segoe UI" w:cs="Arial"/>
        </w:rPr>
        <w:t xml:space="preserve"> Aaron and his sons will arrange to keep the lamps lit from evening until morning before Jehovah.</w:t>
      </w:r>
      <w:r w:rsidR="00E806E3">
        <w:rPr>
          <w:rStyle w:val="EndnoteReference"/>
          <w:rFonts w:eastAsia="Segoe UI" w:cs="Arial"/>
        </w:rPr>
        <w:endnoteReference w:id="18"/>
      </w:r>
      <w:r>
        <w:rPr>
          <w:rFonts w:eastAsia="Segoe UI" w:cs="Arial"/>
        </w:rPr>
        <w:t xml:space="preserve"> It is a lasting statute for all their generations to be carried out by the Israelites.</w:t>
      </w:r>
      <w:r w:rsidR="00E806E3">
        <w:rPr>
          <w:rStyle w:val="EndnoteReference"/>
          <w:rFonts w:eastAsia="Segoe UI" w:cs="Arial"/>
        </w:rPr>
        <w:endnoteReference w:id="19"/>
      </w:r>
    </w:p>
    <w:p w:rsidR="00762BCB" w:rsidRPr="00726D85" w:rsidRDefault="00762BCB" w:rsidP="00726D85"/>
    <w:sectPr w:rsidR="00762BCB" w:rsidRPr="00726D8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64FF" w:rsidRDefault="006E64FF">
      <w:r>
        <w:separator/>
      </w:r>
    </w:p>
  </w:endnote>
  <w:endnote w:type="continuationSeparator" w:id="0">
    <w:p w:rsidR="006E64FF" w:rsidRDefault="006E64FF">
      <w:r>
        <w:continuationSeparator/>
      </w:r>
    </w:p>
  </w:endnote>
  <w:endnote w:id="1">
    <w:p w:rsidR="00E806E3" w:rsidRDefault="00E806E3">
      <w:pPr>
        <w:pStyle w:val="EndnoteText"/>
      </w:pPr>
      <w:r>
        <w:rPr>
          <w:rStyle w:val="EndnoteReference"/>
        </w:rPr>
        <w:endnoteRef/>
      </w:r>
      <w:r>
        <w:t xml:space="preserve"> Exodus 40:29; 2 Chronicles 4:1; Hebrews 13:10</w:t>
      </w:r>
    </w:p>
  </w:endnote>
  <w:endnote w:id="2">
    <w:p w:rsidR="00E806E3" w:rsidRDefault="00E806E3">
      <w:pPr>
        <w:pStyle w:val="EndnoteText"/>
      </w:pPr>
      <w:r>
        <w:rPr>
          <w:rStyle w:val="EndnoteReference"/>
        </w:rPr>
        <w:endnoteRef/>
      </w:r>
      <w:r>
        <w:t xml:space="preserve"> Exodus 38:1-7</w:t>
      </w:r>
    </w:p>
  </w:endnote>
  <w:endnote w:id="3">
    <w:p w:rsidR="00E806E3" w:rsidRDefault="00E806E3">
      <w:pPr>
        <w:pStyle w:val="EndnoteText"/>
      </w:pPr>
      <w:r>
        <w:rPr>
          <w:rStyle w:val="EndnoteReference"/>
        </w:rPr>
        <w:endnoteRef/>
      </w:r>
      <w:r>
        <w:t xml:space="preserve"> Leviticus 4:25</w:t>
      </w:r>
    </w:p>
  </w:endnote>
  <w:endnote w:id="4">
    <w:p w:rsidR="00E806E3" w:rsidRDefault="00E806E3">
      <w:pPr>
        <w:pStyle w:val="EndnoteText"/>
      </w:pPr>
      <w:r>
        <w:rPr>
          <w:rStyle w:val="EndnoteReference"/>
        </w:rPr>
        <w:endnoteRef/>
      </w:r>
      <w:r>
        <w:t xml:space="preserve"> 1 Kings 8:64</w:t>
      </w:r>
    </w:p>
  </w:endnote>
  <w:endnote w:id="5">
    <w:p w:rsidR="00E806E3" w:rsidRDefault="00E806E3">
      <w:pPr>
        <w:pStyle w:val="EndnoteText"/>
      </w:pPr>
      <w:r>
        <w:rPr>
          <w:rStyle w:val="EndnoteReference"/>
        </w:rPr>
        <w:endnoteRef/>
      </w:r>
      <w:r>
        <w:t xml:space="preserve"> 1 Kings 7:45</w:t>
      </w:r>
    </w:p>
  </w:endnote>
  <w:endnote w:id="6">
    <w:p w:rsidR="00E806E3" w:rsidRDefault="00E806E3">
      <w:pPr>
        <w:pStyle w:val="EndnoteText"/>
      </w:pPr>
      <w:r>
        <w:rPr>
          <w:rStyle w:val="EndnoteReference"/>
        </w:rPr>
        <w:endnoteRef/>
      </w:r>
      <w:r>
        <w:t xml:space="preserve"> Numbers 4:14, 15</w:t>
      </w:r>
    </w:p>
  </w:endnote>
  <w:endnote w:id="7">
    <w:p w:rsidR="00E806E3" w:rsidRDefault="00E806E3">
      <w:pPr>
        <w:pStyle w:val="EndnoteText"/>
      </w:pPr>
      <w:r>
        <w:rPr>
          <w:rStyle w:val="EndnoteReference"/>
        </w:rPr>
        <w:endnoteRef/>
      </w:r>
      <w:r>
        <w:t xml:space="preserve"> Exodus 25:40; 1 Chronicles 28:12; Acts 7:44; Hebrews 8:5</w:t>
      </w:r>
    </w:p>
  </w:endnote>
  <w:endnote w:id="8">
    <w:p w:rsidR="00E806E3" w:rsidRDefault="00E806E3">
      <w:pPr>
        <w:pStyle w:val="EndnoteText"/>
      </w:pPr>
      <w:r>
        <w:rPr>
          <w:rStyle w:val="EndnoteReference"/>
        </w:rPr>
        <w:endnoteRef/>
      </w:r>
      <w:r>
        <w:t xml:space="preserve"> Exodus 40:8; 1 Kings 6:36</w:t>
      </w:r>
    </w:p>
  </w:endnote>
  <w:endnote w:id="9">
    <w:p w:rsidR="00E806E3" w:rsidRDefault="00E806E3">
      <w:pPr>
        <w:pStyle w:val="EndnoteText"/>
      </w:pPr>
      <w:r>
        <w:rPr>
          <w:rStyle w:val="EndnoteReference"/>
        </w:rPr>
        <w:endnoteRef/>
      </w:r>
      <w:r>
        <w:t xml:space="preserve"> Exodus 38:9-15</w:t>
      </w:r>
    </w:p>
  </w:endnote>
  <w:endnote w:id="10">
    <w:p w:rsidR="00E806E3" w:rsidRDefault="00E806E3">
      <w:pPr>
        <w:pStyle w:val="EndnoteText"/>
      </w:pPr>
      <w:r>
        <w:rPr>
          <w:rStyle w:val="EndnoteReference"/>
        </w:rPr>
        <w:endnoteRef/>
      </w:r>
      <w:r>
        <w:t xml:space="preserve"> Exodus 39:33, 40</w:t>
      </w:r>
    </w:p>
  </w:endnote>
  <w:endnote w:id="11">
    <w:p w:rsidR="00E806E3" w:rsidRDefault="00E806E3">
      <w:pPr>
        <w:pStyle w:val="EndnoteText"/>
      </w:pPr>
      <w:r>
        <w:rPr>
          <w:rStyle w:val="EndnoteReference"/>
        </w:rPr>
        <w:endnoteRef/>
      </w:r>
      <w:r>
        <w:t xml:space="preserve"> Exodus 35:25</w:t>
      </w:r>
    </w:p>
  </w:endnote>
  <w:endnote w:id="12">
    <w:p w:rsidR="00E806E3" w:rsidRDefault="00E806E3">
      <w:pPr>
        <w:pStyle w:val="EndnoteText"/>
      </w:pPr>
      <w:r>
        <w:rPr>
          <w:rStyle w:val="EndnoteReference"/>
        </w:rPr>
        <w:endnoteRef/>
      </w:r>
      <w:r>
        <w:t xml:space="preserve"> Exodus 38:18, 19</w:t>
      </w:r>
    </w:p>
  </w:endnote>
  <w:endnote w:id="13">
    <w:p w:rsidR="00E806E3" w:rsidRDefault="00E806E3">
      <w:pPr>
        <w:pStyle w:val="EndnoteText"/>
      </w:pPr>
      <w:r>
        <w:rPr>
          <w:rStyle w:val="EndnoteReference"/>
        </w:rPr>
        <w:endnoteRef/>
      </w:r>
      <w:r>
        <w:t xml:space="preserve"> Exodus 38:17</w:t>
      </w:r>
    </w:p>
  </w:endnote>
  <w:endnote w:id="14">
    <w:p w:rsidR="00E806E3" w:rsidRDefault="00E806E3">
      <w:pPr>
        <w:pStyle w:val="EndnoteText"/>
      </w:pPr>
      <w:r>
        <w:rPr>
          <w:rStyle w:val="EndnoteReference"/>
        </w:rPr>
        <w:endnoteRef/>
      </w:r>
      <w:r>
        <w:t xml:space="preserve"> Exodus 27:9</w:t>
      </w:r>
    </w:p>
  </w:endnote>
  <w:endnote w:id="15">
    <w:p w:rsidR="00E806E3" w:rsidRDefault="00E806E3">
      <w:pPr>
        <w:pStyle w:val="EndnoteText"/>
      </w:pPr>
      <w:r>
        <w:rPr>
          <w:rStyle w:val="EndnoteReference"/>
        </w:rPr>
        <w:endnoteRef/>
      </w:r>
      <w:r>
        <w:t xml:space="preserve"> Exodus 38:20; Numbers 3:36, 37</w:t>
      </w:r>
    </w:p>
  </w:endnote>
  <w:endnote w:id="16">
    <w:p w:rsidR="00E806E3" w:rsidRDefault="00E806E3">
      <w:pPr>
        <w:pStyle w:val="EndnoteText"/>
      </w:pPr>
      <w:r>
        <w:rPr>
          <w:rStyle w:val="EndnoteReference"/>
        </w:rPr>
        <w:endnoteRef/>
      </w:r>
      <w:r>
        <w:t xml:space="preserve"> Exodus 39:33, 37; Leviticus 24:1-3</w:t>
      </w:r>
    </w:p>
  </w:endnote>
  <w:endnote w:id="17">
    <w:p w:rsidR="00E806E3" w:rsidRDefault="00E806E3">
      <w:pPr>
        <w:pStyle w:val="EndnoteText"/>
      </w:pPr>
      <w:r>
        <w:rPr>
          <w:rStyle w:val="EndnoteReference"/>
        </w:rPr>
        <w:endnoteRef/>
      </w:r>
      <w:r>
        <w:t xml:space="preserve"> Exodus 26:33; 40:3; Hebrews 9:2, 3</w:t>
      </w:r>
    </w:p>
  </w:endnote>
  <w:endnote w:id="18">
    <w:p w:rsidR="00E806E3" w:rsidRDefault="00E806E3">
      <w:pPr>
        <w:pStyle w:val="EndnoteText"/>
      </w:pPr>
      <w:r>
        <w:rPr>
          <w:rStyle w:val="EndnoteReference"/>
        </w:rPr>
        <w:endnoteRef/>
      </w:r>
      <w:r>
        <w:t xml:space="preserve"> Exodus 30:8</w:t>
      </w:r>
    </w:p>
  </w:endnote>
  <w:endnote w:id="19">
    <w:p w:rsidR="00E806E3" w:rsidRDefault="00E806E3">
      <w:pPr>
        <w:pStyle w:val="EndnoteText"/>
      </w:pPr>
      <w:r>
        <w:rPr>
          <w:rStyle w:val="EndnoteReference"/>
        </w:rPr>
        <w:endnoteRef/>
      </w:r>
      <w:r>
        <w:t xml:space="preserve"> Numbers 18:23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64FF" w:rsidRDefault="006E64FF">
      <w:r>
        <w:separator/>
      </w:r>
    </w:p>
  </w:footnote>
  <w:footnote w:type="continuationSeparator" w:id="0">
    <w:p w:rsidR="006E64FF" w:rsidRDefault="006E64FF">
      <w:r>
        <w:continuationSeparator/>
      </w:r>
    </w:p>
  </w:footnote>
  <w:footnote w:id="1">
    <w:p w:rsidR="00E806E3" w:rsidRDefault="00E806E3">
      <w:pPr>
        <w:pStyle w:val="FootnoteText"/>
      </w:pPr>
      <w:r>
        <w:rPr>
          <w:rStyle w:val="FootnoteReference"/>
        </w:rPr>
        <w:footnoteRef/>
      </w:r>
      <w:r>
        <w:t xml:space="preserve"> </w:t>
      </w:r>
      <w:r>
        <w:t>A cubit equaled 44.5 cm (17.5 in.). See App. B14.</w:t>
      </w:r>
    </w:p>
  </w:footnote>
  <w:footnote w:id="2">
    <w:p w:rsidR="00E806E3" w:rsidRDefault="00E806E3">
      <w:pPr>
        <w:pStyle w:val="FootnoteText"/>
      </w:pPr>
      <w:r>
        <w:rPr>
          <w:rStyle w:val="FootnoteReference"/>
        </w:rPr>
        <w:footnoteRef/>
      </w:r>
      <w:r>
        <w:t xml:space="preserve"> </w:t>
      </w:r>
      <w:r>
        <w:t>Or “fatty ashes,” that is, ashes soaked with the fat of the sacrifices.</w:t>
      </w:r>
    </w:p>
  </w:footnote>
  <w:footnote w:id="3">
    <w:p w:rsidR="00E806E3" w:rsidRDefault="00E806E3">
      <w:pPr>
        <w:pStyle w:val="FootnoteText"/>
      </w:pPr>
      <w:r>
        <w:rPr>
          <w:rStyle w:val="FootnoteReference"/>
        </w:rPr>
        <w:footnoteRef/>
      </w:r>
      <w:r>
        <w:t xml:space="preserve"> </w:t>
      </w:r>
      <w:r>
        <w:t>Or “rings; hoops; bands” for attachments.</w:t>
      </w:r>
    </w:p>
  </w:footnote>
  <w:footnote w:id="4">
    <w:p w:rsidR="00E806E3" w:rsidRDefault="00E806E3">
      <w:pPr>
        <w:pStyle w:val="FootnoteText"/>
      </w:pPr>
      <w:r>
        <w:rPr>
          <w:rStyle w:val="FootnoteReference"/>
        </w:rPr>
        <w:footnoteRef/>
      </w:r>
      <w:r>
        <w:t xml:space="preserve"> </w:t>
      </w:r>
      <w:r>
        <w:t>Or “rings; hoops; bands” for attachments.</w:t>
      </w:r>
    </w:p>
  </w:footnote>
  <w:footnote w:id="5">
    <w:p w:rsidR="00E806E3" w:rsidRDefault="00E806E3">
      <w:pPr>
        <w:pStyle w:val="FootnoteText"/>
      </w:pPr>
      <w:r>
        <w:rPr>
          <w:rStyle w:val="FootnoteReference"/>
        </w:rPr>
        <w:footnoteRef/>
      </w:r>
      <w:r>
        <w:t xml:space="preserve"> </w:t>
      </w:r>
      <w:r>
        <w:t>Or “curtain.”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806E3">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806E3">
        <w:t>Exodus Chapter 27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806E3">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806E3">
      <w:rPr>
        <w:noProof/>
        <w:snapToGrid w:val="0"/>
      </w:rPr>
      <w:t>Exodus 27.Advisor.docx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806E3">
        <w:t>Exodus Chapter 27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806E3">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806E3">
      <w:rPr>
        <w:noProof/>
        <w:snapToGrid w:val="0"/>
      </w:rPr>
      <w:t>Exodus 27.Advisor.docx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806E3">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806E3">
      <w:t>&lt;not set&gt;</w:t>
    </w:r>
    <w:r>
      <w:fldChar w:fldCharType="end"/>
    </w:r>
    <w:r>
      <w:tab/>
      <w:t xml:space="preserve">Checker: </w:t>
    </w:r>
    <w:r>
      <w:fldChar w:fldCharType="begin"/>
    </w:r>
    <w:r>
      <w:instrText xml:space="preserve"> DOCPROPERTY "_RoleChecker" </w:instrText>
    </w:r>
    <w:r>
      <w:fldChar w:fldCharType="separate"/>
    </w:r>
    <w:r w:rsidR="00E806E3">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806E3">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64FF"/>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6E64FF"/>
    <w:rsid w:val="00726D85"/>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806E3"/>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553e7157d504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806E3"/>
    <w:pPr>
      <w:spacing w:line="240" w:lineRule="auto"/>
    </w:pPr>
    <w:rPr>
      <w:sz w:val="20"/>
      <w:szCs w:val="20"/>
    </w:rPr>
  </w:style>
  <w:style w:type="character" w:customStyle="1" w:styleId="FootnoteTextChar">
    <w:name w:val="Footnote Text Char"/>
    <w:basedOn w:val="DefaultParagraphFont"/>
    <w:link w:val="FootnoteText"/>
    <w:rsid w:val="00E806E3"/>
    <w:rPr>
      <w:rFonts w:ascii="Arial" w:eastAsia="Times New Roman" w:hAnsi="Arial" w:cs="Latha"/>
      <w:lang w:val="en-US" w:eastAsia="en-US" w:bidi="ta-IN"/>
    </w:rPr>
  </w:style>
  <w:style w:type="character" w:styleId="FootnoteReference">
    <w:name w:val="footnote reference"/>
    <w:basedOn w:val="DefaultParagraphFont"/>
    <w:rsid w:val="00E806E3"/>
    <w:rPr>
      <w:vertAlign w:val="superscript"/>
    </w:rPr>
  </w:style>
  <w:style w:type="paragraph" w:styleId="EndnoteText">
    <w:name w:val="endnote text"/>
    <w:basedOn w:val="Normal"/>
    <w:link w:val="EndnoteTextChar"/>
    <w:rsid w:val="00E806E3"/>
    <w:pPr>
      <w:spacing w:line="240" w:lineRule="auto"/>
    </w:pPr>
    <w:rPr>
      <w:sz w:val="20"/>
      <w:szCs w:val="20"/>
    </w:rPr>
  </w:style>
  <w:style w:type="character" w:customStyle="1" w:styleId="EndnoteTextChar">
    <w:name w:val="Endnote Text Char"/>
    <w:basedOn w:val="DefaultParagraphFont"/>
    <w:link w:val="EndnoteText"/>
    <w:rsid w:val="00E806E3"/>
    <w:rPr>
      <w:rFonts w:ascii="Arial" w:eastAsia="Times New Roman" w:hAnsi="Arial" w:cs="Latha"/>
      <w:lang w:val="en-US" w:eastAsia="en-US" w:bidi="ta-IN"/>
    </w:rPr>
  </w:style>
  <w:style w:type="character" w:styleId="EndnoteReference">
    <w:name w:val="endnote reference"/>
    <w:basedOn w:val="DefaultParagraphFont"/>
    <w:rsid w:val="00E806E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806E3"/>
    <w:pPr>
      <w:spacing w:line="240" w:lineRule="auto"/>
    </w:pPr>
    <w:rPr>
      <w:sz w:val="20"/>
      <w:szCs w:val="20"/>
    </w:rPr>
  </w:style>
  <w:style w:type="character" w:customStyle="1" w:styleId="FootnoteTextChar">
    <w:name w:val="Footnote Text Char"/>
    <w:basedOn w:val="DefaultParagraphFont"/>
    <w:link w:val="FootnoteText"/>
    <w:rsid w:val="00E806E3"/>
    <w:rPr>
      <w:rFonts w:ascii="Arial" w:eastAsia="Times New Roman" w:hAnsi="Arial" w:cs="Latha"/>
      <w:lang w:val="en-US" w:eastAsia="en-US" w:bidi="ta-IN"/>
    </w:rPr>
  </w:style>
  <w:style w:type="character" w:styleId="FootnoteReference">
    <w:name w:val="footnote reference"/>
    <w:basedOn w:val="DefaultParagraphFont"/>
    <w:rsid w:val="00E806E3"/>
    <w:rPr>
      <w:vertAlign w:val="superscript"/>
    </w:rPr>
  </w:style>
  <w:style w:type="paragraph" w:styleId="EndnoteText">
    <w:name w:val="endnote text"/>
    <w:basedOn w:val="Normal"/>
    <w:link w:val="EndnoteTextChar"/>
    <w:rsid w:val="00E806E3"/>
    <w:pPr>
      <w:spacing w:line="240" w:lineRule="auto"/>
    </w:pPr>
    <w:rPr>
      <w:sz w:val="20"/>
      <w:szCs w:val="20"/>
    </w:rPr>
  </w:style>
  <w:style w:type="character" w:customStyle="1" w:styleId="EndnoteTextChar">
    <w:name w:val="Endnote Text Char"/>
    <w:basedOn w:val="DefaultParagraphFont"/>
    <w:link w:val="EndnoteText"/>
    <w:rsid w:val="00E806E3"/>
    <w:rPr>
      <w:rFonts w:ascii="Arial" w:eastAsia="Times New Roman" w:hAnsi="Arial" w:cs="Latha"/>
      <w:lang w:val="en-US" w:eastAsia="en-US" w:bidi="ta-IN"/>
    </w:rPr>
  </w:style>
  <w:style w:type="character" w:styleId="EndnoteReference">
    <w:name w:val="endnote reference"/>
    <w:basedOn w:val="DefaultParagraphFont"/>
    <w:rsid w:val="00E806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553e7157d504a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555</ap:Words>
  <ap:Characters>2440</ap:Characters>
  <ap:Application>Microsoft Office Word</ap:Application>
  <ap:DocSecurity>0</ap:DocSecurity>
  <ap:Lines>37</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2991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27</dc:title>
  <dc:subject/>
  <dc:creator>David Waterson</dc:creator>
  <cp:keywords/>
  <dc:description/>
  <cp:lastModifiedBy>David Waterson</cp:lastModifiedBy>
  <cp:revision>3</cp:revision>
  <dcterms:created xsi:type="dcterms:W3CDTF">2019-08-04T13:48:00Z</dcterms:created>
  <dcterms:modified xsi:type="dcterms:W3CDTF">2019-08-04T13:48:00Z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27.docx</vt:lpwstr>
  </property>
  <property fmtid="{D5CDD505-2E9C-101B-9397-08002B2CF9AE}" pid="9" name="_TranslationDocumentId">
    <vt:i4>19407</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