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BD2" w:rsidRDefault="00631BD2" w:rsidP="00631BD2">
      <w:pPr>
        <w:rPr>
          <w:rFonts w:eastAsia="Segoe UI" w:cs="Arial"/>
        </w:rPr>
      </w:pPr>
      <w:bookmarkStart w:id="0" w:name="_GoBack"/>
      <w:bookmarkEnd w:id="0"/>
      <w:r>
        <w:rPr>
          <w:rFonts w:eastAsia="Segoe UI" w:cs="Arial"/>
          <w:b/>
        </w:rPr>
        <w:t xml:space="preserve">35:1 </w:t>
      </w:r>
      <w:r>
        <w:rPr>
          <w:rFonts w:eastAsia="Segoe UI" w:cs="Arial"/>
        </w:rPr>
        <w:t>Moses later gathered the entire assembly of the Israelites together and said to them: “These are the things that Jehovah has commanded to be done:</w:t>
      </w:r>
      <w:r w:rsidR="005A3C52">
        <w:rPr>
          <w:rStyle w:val="EndnoteReference"/>
          <w:rFonts w:eastAsia="Segoe UI" w:cs="Arial"/>
        </w:rPr>
        <w:endnoteReference w:id="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Work may be done for six days, but the seventh day will become something holy to you, a sabbath of complete rest to Jehovah.</w:t>
      </w:r>
      <w:r w:rsidR="005A3C52">
        <w:rPr>
          <w:rStyle w:val="EndnoteReference"/>
          <w:rFonts w:eastAsia="Segoe UI" w:cs="Arial"/>
        </w:rPr>
        <w:endnoteReference w:id="2"/>
      </w:r>
      <w:r>
        <w:rPr>
          <w:rFonts w:eastAsia="Segoe UI" w:cs="Arial"/>
        </w:rPr>
        <w:t xml:space="preserve"> Anybody doing work on it will be put to death.</w:t>
      </w:r>
      <w:r w:rsidR="005A3C52">
        <w:rPr>
          <w:rStyle w:val="EndnoteReference"/>
          <w:rFonts w:eastAsia="Segoe UI" w:cs="Arial"/>
        </w:rPr>
        <w:endnoteReference w:id="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You must not light a fire in any of your dwelling places on the Sabbath day.”</w:t>
      </w:r>
    </w:p>
    <w:p w:rsidR="00631BD2" w:rsidRDefault="00631BD2" w:rsidP="00631BD2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 xml:space="preserve">Moses then said to the entire assembly of the Israelites: “This is what Jehovah has commanded,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‘Take up a contribution for Jehovah from among yourselves.</w:t>
      </w:r>
      <w:r w:rsidR="005A3C52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Let everyone with a willing heart</w:t>
      </w:r>
      <w:r w:rsidR="005A3C52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bring a contribution for Jehovah: gold, silver, copper,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blue thread, purple wool, scarlet material, fine linen, goat hair,</w:t>
      </w:r>
      <w:r w:rsidR="005A3C52">
        <w:rPr>
          <w:rStyle w:val="EndnoteReference"/>
          <w:rFonts w:eastAsia="Segoe UI" w:cs="Arial"/>
        </w:rPr>
        <w:endnoteReference w:id="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 xml:space="preserve">ram skins dyed red, sealskins, acacia wood,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oil for the lamps, balsam for the anointing oil and for the perfumed incense,</w:t>
      </w:r>
      <w:r w:rsidR="005A3C52">
        <w:rPr>
          <w:rStyle w:val="EndnoteReference"/>
          <w:rFonts w:eastAsia="Segoe UI" w:cs="Arial"/>
        </w:rPr>
        <w:endnoteReference w:id="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onyx stones, and other stones for setting in the eph′od</w:t>
      </w:r>
      <w:r w:rsidR="005A3C52">
        <w:rPr>
          <w:rStyle w:val="EndnoteReference"/>
          <w:rFonts w:eastAsia="Segoe UI" w:cs="Arial"/>
        </w:rPr>
        <w:endnoteReference w:id="8"/>
      </w:r>
      <w:r>
        <w:rPr>
          <w:rFonts w:eastAsia="Segoe UI" w:cs="Arial"/>
        </w:rPr>
        <w:t xml:space="preserve"> and the breastpiece.</w:t>
      </w:r>
      <w:r w:rsidR="005A3C52">
        <w:rPr>
          <w:rStyle w:val="EndnoteReference"/>
          <w:rFonts w:eastAsia="Segoe UI" w:cs="Arial"/>
        </w:rPr>
        <w:endnoteReference w:id="9"/>
      </w:r>
    </w:p>
    <w:p w:rsidR="00631BD2" w:rsidRDefault="00631BD2" w:rsidP="00631BD2">
      <w:pPr>
        <w:rPr>
          <w:rFonts w:eastAsia="Segoe UI" w:cs="Arial"/>
        </w:rPr>
      </w:pP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“‘Let all who are skilled</w:t>
      </w:r>
      <w:r w:rsidR="005A3C52">
        <w:rPr>
          <w:rStyle w:val="FootnoteReference"/>
          <w:rFonts w:eastAsia="Segoe UI" w:cs="Arial"/>
        </w:rPr>
        <w:footnoteReference w:id="1"/>
      </w:r>
      <w:r w:rsidR="005A3C52">
        <w:rPr>
          <w:rStyle w:val="EndnoteReference"/>
          <w:rFonts w:eastAsia="Segoe UI" w:cs="Arial"/>
        </w:rPr>
        <w:endnoteReference w:id="10"/>
      </w:r>
      <w:r>
        <w:rPr>
          <w:rFonts w:eastAsia="Segoe UI" w:cs="Arial"/>
        </w:rPr>
        <w:t xml:space="preserve"> among you come and make everything that Jehovah has commanded,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 xml:space="preserve">namely, the tabernacle with its tent and its covering, its clasps and its panel frames, its bars, its pillars, and its socket pedestals;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the Ark</w:t>
      </w:r>
      <w:r w:rsidR="005A3C52">
        <w:rPr>
          <w:rStyle w:val="EndnoteReference"/>
          <w:rFonts w:eastAsia="Segoe UI" w:cs="Arial"/>
        </w:rPr>
        <w:endnoteReference w:id="11"/>
      </w:r>
      <w:r>
        <w:rPr>
          <w:rFonts w:eastAsia="Segoe UI" w:cs="Arial"/>
        </w:rPr>
        <w:t xml:space="preserve"> and its poles,</w:t>
      </w:r>
      <w:r w:rsidR="005A3C52">
        <w:rPr>
          <w:rStyle w:val="EndnoteReference"/>
          <w:rFonts w:eastAsia="Segoe UI" w:cs="Arial"/>
        </w:rPr>
        <w:endnoteReference w:id="12"/>
      </w:r>
      <w:r>
        <w:rPr>
          <w:rFonts w:eastAsia="Segoe UI" w:cs="Arial"/>
        </w:rPr>
        <w:t xml:space="preserve"> the cover,</w:t>
      </w:r>
      <w:r w:rsidR="005A3C52">
        <w:rPr>
          <w:rStyle w:val="EndnoteReference"/>
          <w:rFonts w:eastAsia="Segoe UI" w:cs="Arial"/>
        </w:rPr>
        <w:endnoteReference w:id="13"/>
      </w:r>
      <w:r>
        <w:rPr>
          <w:rFonts w:eastAsia="Segoe UI" w:cs="Arial"/>
        </w:rPr>
        <w:t xml:space="preserve"> and the curtain</w:t>
      </w:r>
      <w:r w:rsidR="005A3C52">
        <w:rPr>
          <w:rStyle w:val="EndnoteReference"/>
          <w:rFonts w:eastAsia="Segoe UI" w:cs="Arial"/>
        </w:rPr>
        <w:endnoteReference w:id="14"/>
      </w:r>
      <w:r>
        <w:rPr>
          <w:rFonts w:eastAsia="Segoe UI" w:cs="Arial"/>
        </w:rPr>
        <w:t xml:space="preserve"> for the screen;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the table</w:t>
      </w:r>
      <w:r w:rsidR="005A3C52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and its poles and all its utensils and the showbread;</w:t>
      </w:r>
      <w:r w:rsidR="005A3C52">
        <w:rPr>
          <w:rStyle w:val="EndnoteReference"/>
          <w:rFonts w:eastAsia="Segoe UI" w:cs="Arial"/>
        </w:rPr>
        <w:endnoteReference w:id="1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the lampstand</w:t>
      </w:r>
      <w:r w:rsidR="005A3C52">
        <w:rPr>
          <w:rStyle w:val="EndnoteReference"/>
          <w:rFonts w:eastAsia="Segoe UI" w:cs="Arial"/>
        </w:rPr>
        <w:endnoteReference w:id="17"/>
      </w:r>
      <w:r>
        <w:rPr>
          <w:rFonts w:eastAsia="Segoe UI" w:cs="Arial"/>
        </w:rPr>
        <w:t xml:space="preserve"> for light and its utensils and its lamps and the oil for lighting;</w:t>
      </w:r>
      <w:r w:rsidR="005A3C52">
        <w:rPr>
          <w:rStyle w:val="EndnoteReference"/>
          <w:rFonts w:eastAsia="Segoe UI" w:cs="Arial"/>
        </w:rPr>
        <w:endnoteReference w:id="18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the altar of incense</w:t>
      </w:r>
      <w:r w:rsidR="005A3C52">
        <w:rPr>
          <w:rStyle w:val="EndnoteReference"/>
          <w:rFonts w:eastAsia="Segoe UI" w:cs="Arial"/>
        </w:rPr>
        <w:endnoteReference w:id="19"/>
      </w:r>
      <w:r>
        <w:rPr>
          <w:rFonts w:eastAsia="Segoe UI" w:cs="Arial"/>
        </w:rPr>
        <w:t xml:space="preserve"> and its poles; the anointing oil and the perfumed incense;</w:t>
      </w:r>
      <w:r w:rsidR="005A3C52">
        <w:rPr>
          <w:rStyle w:val="EndnoteReference"/>
          <w:rFonts w:eastAsia="Segoe UI" w:cs="Arial"/>
        </w:rPr>
        <w:endnoteReference w:id="20"/>
      </w:r>
      <w:r>
        <w:rPr>
          <w:rFonts w:eastAsia="Segoe UI" w:cs="Arial"/>
        </w:rPr>
        <w:t xml:space="preserve"> the screen</w:t>
      </w:r>
      <w:r w:rsidR="005A3C52">
        <w:rPr>
          <w:rStyle w:val="FootnoteReference"/>
          <w:rFonts w:eastAsia="Segoe UI" w:cs="Arial"/>
        </w:rPr>
        <w:footnoteReference w:id="2"/>
      </w:r>
      <w:r>
        <w:rPr>
          <w:rFonts w:eastAsia="Segoe UI" w:cs="Arial"/>
        </w:rPr>
        <w:t xml:space="preserve"> for the tabernacle’s entrance;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the altar of burnt offering</w:t>
      </w:r>
      <w:r w:rsidR="005A3C52">
        <w:rPr>
          <w:rStyle w:val="EndnoteReference"/>
          <w:rFonts w:eastAsia="Segoe UI" w:cs="Arial"/>
        </w:rPr>
        <w:endnoteReference w:id="21"/>
      </w:r>
      <w:r>
        <w:rPr>
          <w:rFonts w:eastAsia="Segoe UI" w:cs="Arial"/>
        </w:rPr>
        <w:t xml:space="preserve"> and its copper grating, its poles and all its utensils; the basin and its stand;</w:t>
      </w:r>
      <w:r w:rsidR="005A3C52">
        <w:rPr>
          <w:rStyle w:val="EndnoteReference"/>
          <w:rFonts w:eastAsia="Segoe UI" w:cs="Arial"/>
        </w:rPr>
        <w:endnoteReference w:id="2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the hanging curtains of the courtyard,</w:t>
      </w:r>
      <w:r w:rsidR="005A3C52">
        <w:rPr>
          <w:rStyle w:val="EndnoteReference"/>
          <w:rFonts w:eastAsia="Segoe UI" w:cs="Arial"/>
        </w:rPr>
        <w:endnoteReference w:id="23"/>
      </w:r>
      <w:r>
        <w:rPr>
          <w:rFonts w:eastAsia="Segoe UI" w:cs="Arial"/>
        </w:rPr>
        <w:t xml:space="preserve"> its pillars and its socket pedestals; the screen</w:t>
      </w:r>
      <w:r w:rsidR="005A3C52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of the entrance to the courtyard;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the tent pins of the tabernacle and the tent pins of the courtyard and their cords;</w:t>
      </w:r>
      <w:r w:rsidR="005A3C52">
        <w:rPr>
          <w:rStyle w:val="EndnoteReference"/>
          <w:rFonts w:eastAsia="Segoe UI" w:cs="Arial"/>
        </w:rPr>
        <w:endnoteReference w:id="2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the finely woven garments</w:t>
      </w:r>
      <w:r w:rsidR="005A3C52">
        <w:rPr>
          <w:rStyle w:val="EndnoteReference"/>
          <w:rFonts w:eastAsia="Segoe UI" w:cs="Arial"/>
        </w:rPr>
        <w:endnoteReference w:id="25"/>
      </w:r>
      <w:r>
        <w:rPr>
          <w:rFonts w:eastAsia="Segoe UI" w:cs="Arial"/>
        </w:rPr>
        <w:t xml:space="preserve"> for ministering in the sanctuary, the holy garments for Aaron</w:t>
      </w:r>
      <w:r w:rsidR="005A3C52">
        <w:rPr>
          <w:rStyle w:val="EndnoteReference"/>
          <w:rFonts w:eastAsia="Segoe UI" w:cs="Arial"/>
        </w:rPr>
        <w:endnoteReference w:id="26"/>
      </w:r>
      <w:r>
        <w:rPr>
          <w:rFonts w:eastAsia="Segoe UI" w:cs="Arial"/>
        </w:rPr>
        <w:t xml:space="preserve"> the priest, and the garments of his sons for serving as priests.’”</w:t>
      </w:r>
    </w:p>
    <w:p w:rsidR="00631BD2" w:rsidRDefault="00631BD2" w:rsidP="00631BD2">
      <w:pPr>
        <w:rPr>
          <w:rFonts w:eastAsia="Segoe UI" w:cs="Arial"/>
        </w:rPr>
      </w:pP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 xml:space="preserve">So all the assembly of the Israelites went out from before Moses. </w:t>
      </w: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Then everyone whose heart impelled him</w:t>
      </w:r>
      <w:r w:rsidR="005A3C52">
        <w:rPr>
          <w:rStyle w:val="EndnoteReference"/>
          <w:rFonts w:eastAsia="Segoe UI" w:cs="Arial"/>
        </w:rPr>
        <w:endnoteReference w:id="27"/>
      </w:r>
      <w:r>
        <w:rPr>
          <w:rFonts w:eastAsia="Segoe UI" w:cs="Arial"/>
        </w:rPr>
        <w:t xml:space="preserve"> and everyone whose spirit incited him came and brought their contribution for Jehovah to be used for the tent of meeting, for all its service, and for the holy garments. </w:t>
      </w: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They kept coming, the men along with the women, each with a willing heart, bringing brooches, earrings, rings, and other jewelry, as well as all sorts of articles of gold. They all presented their offerings</w:t>
      </w:r>
      <w:r w:rsidR="005A3C52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of gold to Jehovah.</w:t>
      </w:r>
      <w:r w:rsidR="005A3C52">
        <w:rPr>
          <w:rStyle w:val="EndnoteReference"/>
          <w:rFonts w:eastAsia="Segoe UI" w:cs="Arial"/>
        </w:rPr>
        <w:endnoteReference w:id="28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 xml:space="preserve">And all who had blue thread, purple wool, scarlet material, fine linen, goat hair, ram skins dyed red, and sealskins brought them. </w:t>
      </w: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>All those contributing silver and copper brought Jehovah’s contribution, and all who had acacia wood for any part of the work brought it.</w:t>
      </w:r>
    </w:p>
    <w:p w:rsidR="00631BD2" w:rsidRDefault="00631BD2" w:rsidP="00631BD2">
      <w:pPr>
        <w:rPr>
          <w:rFonts w:eastAsia="Segoe UI" w:cs="Arial"/>
        </w:rPr>
      </w:pP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All the skilled women</w:t>
      </w:r>
      <w:r w:rsidR="005A3C52">
        <w:rPr>
          <w:rStyle w:val="EndnoteReference"/>
          <w:rFonts w:eastAsia="Segoe UI" w:cs="Arial"/>
        </w:rPr>
        <w:endnoteReference w:id="29"/>
      </w:r>
      <w:r>
        <w:rPr>
          <w:rFonts w:eastAsia="Segoe UI" w:cs="Arial"/>
        </w:rPr>
        <w:t xml:space="preserve"> spun with their hands, and they brought what they had spun: blue thread, purple wool, scarlet material, and fine linen. </w:t>
      </w: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>And all the skilled women whose hearts impelled them spun the goat hair.</w:t>
      </w:r>
    </w:p>
    <w:p w:rsidR="00631BD2" w:rsidRDefault="00631BD2" w:rsidP="00631BD2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>And the chieftains brought onyx stones and other stones to be set in the eph′od and the breastpiece,</w:t>
      </w:r>
      <w:r w:rsidR="005A3C52">
        <w:rPr>
          <w:rStyle w:val="EndnoteReference"/>
          <w:rFonts w:eastAsia="Segoe UI" w:cs="Arial"/>
        </w:rPr>
        <w:endnoteReference w:id="3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28 </w:t>
      </w:r>
      <w:r>
        <w:rPr>
          <w:rFonts w:eastAsia="Segoe UI" w:cs="Arial"/>
        </w:rPr>
        <w:t>and the balsam and the oil for lighting and for the anointing oil</w:t>
      </w:r>
      <w:r w:rsidR="005A3C52">
        <w:rPr>
          <w:rStyle w:val="EndnoteReference"/>
          <w:rFonts w:eastAsia="Segoe UI" w:cs="Arial"/>
        </w:rPr>
        <w:endnoteReference w:id="31"/>
      </w:r>
      <w:r>
        <w:rPr>
          <w:rFonts w:eastAsia="Segoe UI" w:cs="Arial"/>
        </w:rPr>
        <w:t xml:space="preserve"> and for the perfumed incense.</w:t>
      </w:r>
      <w:r w:rsidR="005A3C52">
        <w:rPr>
          <w:rStyle w:val="EndnoteReference"/>
          <w:rFonts w:eastAsia="Segoe UI" w:cs="Arial"/>
        </w:rPr>
        <w:endnoteReference w:id="3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29 </w:t>
      </w:r>
      <w:r>
        <w:rPr>
          <w:rFonts w:eastAsia="Segoe UI" w:cs="Arial"/>
        </w:rPr>
        <w:t>All the men and women whose hearts incited them brought something for the work that Jehovah, through Moses, had commanded to be done; the Israelites brought it as a voluntary offering to Jehovah.</w:t>
      </w:r>
      <w:r w:rsidR="005A3C52">
        <w:rPr>
          <w:rStyle w:val="EndnoteReference"/>
          <w:rFonts w:eastAsia="Segoe UI" w:cs="Arial"/>
        </w:rPr>
        <w:endnoteReference w:id="33"/>
      </w:r>
    </w:p>
    <w:p w:rsidR="00631BD2" w:rsidRDefault="00631BD2" w:rsidP="00631BD2">
      <w:pPr>
        <w:rPr>
          <w:rFonts w:eastAsia="Segoe UI" w:cs="Arial"/>
        </w:rPr>
      </w:pPr>
      <w:r>
        <w:rPr>
          <w:rFonts w:eastAsia="Segoe UI" w:cs="Arial"/>
          <w:b/>
        </w:rPr>
        <w:t xml:space="preserve">30 </w:t>
      </w:r>
      <w:r>
        <w:rPr>
          <w:rFonts w:eastAsia="Segoe UI" w:cs="Arial"/>
        </w:rPr>
        <w:t>Then Moses said to the Israelites: “See, Jehovah has chosen Bez′al·el the son of U′ri the son of Hur of the tribe of Judah.</w:t>
      </w:r>
      <w:r w:rsidR="005A3C52">
        <w:rPr>
          <w:rStyle w:val="EndnoteReference"/>
          <w:rFonts w:eastAsia="Segoe UI" w:cs="Arial"/>
        </w:rPr>
        <w:endnoteReference w:id="3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31 </w:t>
      </w:r>
      <w:r>
        <w:rPr>
          <w:rFonts w:eastAsia="Segoe UI" w:cs="Arial"/>
        </w:rPr>
        <w:t xml:space="preserve">He has filled him with the spirit of God, giving him wisdom, understanding, and knowledge of every sort of craftsmanship </w:t>
      </w:r>
      <w:r>
        <w:rPr>
          <w:rFonts w:eastAsia="Segoe UI" w:cs="Arial"/>
          <w:b/>
        </w:rPr>
        <w:t xml:space="preserve">32 </w:t>
      </w:r>
      <w:r>
        <w:rPr>
          <w:rFonts w:eastAsia="Segoe UI" w:cs="Arial"/>
        </w:rPr>
        <w:t xml:space="preserve">for making artistic designs, for working with gold, silver, and copper, </w:t>
      </w:r>
      <w:r>
        <w:rPr>
          <w:rFonts w:eastAsia="Segoe UI" w:cs="Arial"/>
          <w:b/>
        </w:rPr>
        <w:t xml:space="preserve">33 </w:t>
      </w:r>
      <w:r>
        <w:rPr>
          <w:rFonts w:eastAsia="Segoe UI" w:cs="Arial"/>
        </w:rPr>
        <w:t xml:space="preserve">for cutting and setting stones, and for making all kinds of artistic wood products. </w:t>
      </w:r>
      <w:r>
        <w:rPr>
          <w:rFonts w:eastAsia="Segoe UI" w:cs="Arial"/>
          <w:b/>
        </w:rPr>
        <w:t xml:space="preserve">34 </w:t>
      </w:r>
      <w:r>
        <w:rPr>
          <w:rFonts w:eastAsia="Segoe UI" w:cs="Arial"/>
        </w:rPr>
        <w:t>And he has put it into his heart to teach, he and O·ho′li·ab</w:t>
      </w:r>
      <w:r w:rsidR="005A3C52">
        <w:rPr>
          <w:rStyle w:val="EndnoteReference"/>
          <w:rFonts w:eastAsia="Segoe UI" w:cs="Arial"/>
        </w:rPr>
        <w:endnoteReference w:id="35"/>
      </w:r>
      <w:r>
        <w:rPr>
          <w:rFonts w:eastAsia="Segoe UI" w:cs="Arial"/>
        </w:rPr>
        <w:t xml:space="preserve"> the son of A·his′a·mach of the tribe of Dan. </w:t>
      </w:r>
      <w:r>
        <w:rPr>
          <w:rFonts w:eastAsia="Segoe UI" w:cs="Arial"/>
          <w:b/>
        </w:rPr>
        <w:t xml:space="preserve">35 </w:t>
      </w:r>
      <w:r>
        <w:rPr>
          <w:rFonts w:eastAsia="Segoe UI" w:cs="Arial"/>
        </w:rPr>
        <w:t>He has filled them with skill</w:t>
      </w:r>
      <w:r w:rsidR="005A3C52">
        <w:rPr>
          <w:rStyle w:val="FootnoteReference"/>
          <w:rFonts w:eastAsia="Segoe UI" w:cs="Arial"/>
        </w:rPr>
        <w:footnoteReference w:id="5"/>
      </w:r>
      <w:r w:rsidR="005A3C52">
        <w:rPr>
          <w:rStyle w:val="EndnoteReference"/>
          <w:rFonts w:eastAsia="Segoe UI" w:cs="Arial"/>
        </w:rPr>
        <w:endnoteReference w:id="36"/>
      </w:r>
      <w:r>
        <w:rPr>
          <w:rFonts w:eastAsia="Segoe UI" w:cs="Arial"/>
        </w:rPr>
        <w:t xml:space="preserve"> to do all the work of a craftsman, an embroiderer, and a weaver using blue thread, purple wool, scarlet material, and fine linen, and of a loom worker. These men will do every sort of work and prepare every sort of design.</w:t>
      </w:r>
    </w:p>
    <w:p w:rsidR="00762BCB" w:rsidRPr="00631BD2" w:rsidRDefault="00762BCB" w:rsidP="00631BD2"/>
    <w:sectPr w:rsidR="00762BCB" w:rsidRPr="00631BD2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0D54" w:rsidRDefault="00FA0D54">
      <w:r>
        <w:separator/>
      </w:r>
    </w:p>
  </w:endnote>
  <w:endnote w:type="continuationSeparator" w:id="0">
    <w:p w:rsidR="00FA0D54" w:rsidRDefault="00FA0D54">
      <w:r>
        <w:continuationSeparator/>
      </w:r>
    </w:p>
  </w:endnote>
  <w:endnote w:id="1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34:32</w:t>
      </w:r>
    </w:p>
  </w:endnote>
  <w:endnote w:id="2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20:9, 10; Leviticus 23:3</w:t>
      </w:r>
    </w:p>
  </w:endnote>
  <w:endnote w:id="3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31:14, 15; Numbers 15:32, 35</w:t>
      </w:r>
    </w:p>
  </w:endnote>
  <w:endnote w:id="4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25:2-7; 35:29</w:t>
      </w:r>
    </w:p>
  </w:endnote>
  <w:endnote w:id="5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2 Corinthians 8:12; 9:7</w:t>
      </w:r>
    </w:p>
  </w:endnote>
  <w:endnote w:id="6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26:7; 36:8</w:t>
      </w:r>
    </w:p>
  </w:endnote>
  <w:endnote w:id="7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25:3, 6</w:t>
      </w:r>
    </w:p>
  </w:endnote>
  <w:endnote w:id="8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28:9; 39:14</w:t>
      </w:r>
    </w:p>
  </w:endnote>
  <w:endnote w:id="9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28:15</w:t>
      </w:r>
    </w:p>
  </w:endnote>
  <w:endnote w:id="10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31:6; 36:1</w:t>
      </w:r>
    </w:p>
  </w:endnote>
  <w:endnote w:id="11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25:10</w:t>
      </w:r>
    </w:p>
  </w:endnote>
  <w:endnote w:id="12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25:13</w:t>
      </w:r>
    </w:p>
  </w:endnote>
  <w:endnote w:id="13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25:17</w:t>
      </w:r>
    </w:p>
  </w:endnote>
  <w:endnote w:id="14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26:31</w:t>
      </w:r>
    </w:p>
  </w:endnote>
  <w:endnote w:id="15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25:23</w:t>
      </w:r>
    </w:p>
  </w:endnote>
  <w:endnote w:id="16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25:30; Leviticus 24:5, 6</w:t>
      </w:r>
    </w:p>
  </w:endnote>
  <w:endnote w:id="17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25:31</w:t>
      </w:r>
    </w:p>
  </w:endnote>
  <w:endnote w:id="18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27:20</w:t>
      </w:r>
    </w:p>
  </w:endnote>
  <w:endnote w:id="19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30:1; 37:25; 40:5</w:t>
      </w:r>
    </w:p>
  </w:endnote>
  <w:endnote w:id="20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30:34, 35</w:t>
      </w:r>
    </w:p>
  </w:endnote>
  <w:endnote w:id="21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27:1</w:t>
      </w:r>
    </w:p>
  </w:endnote>
  <w:endnote w:id="22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30:18; 38:8</w:t>
      </w:r>
    </w:p>
  </w:endnote>
  <w:endnote w:id="23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27:9</w:t>
      </w:r>
    </w:p>
  </w:endnote>
  <w:endnote w:id="24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27:19</w:t>
      </w:r>
    </w:p>
  </w:endnote>
  <w:endnote w:id="25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31:6, 10; 39:33, 41</w:t>
      </w:r>
    </w:p>
  </w:endnote>
  <w:endnote w:id="26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39:1</w:t>
      </w:r>
    </w:p>
  </w:endnote>
  <w:endnote w:id="27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25:2; 36:2; 2 Corinthians 8:12; 9:7</w:t>
      </w:r>
    </w:p>
  </w:endnote>
  <w:endnote w:id="28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38:24</w:t>
      </w:r>
    </w:p>
  </w:endnote>
  <w:endnote w:id="29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28:3; 31:6; 36:8</w:t>
      </w:r>
    </w:p>
  </w:endnote>
  <w:endnote w:id="30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28:15, 28; 39:15, 21</w:t>
      </w:r>
    </w:p>
  </w:endnote>
  <w:endnote w:id="31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30:23-25</w:t>
      </w:r>
    </w:p>
  </w:endnote>
  <w:endnote w:id="32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30:34, 35</w:t>
      </w:r>
    </w:p>
  </w:endnote>
  <w:endnote w:id="33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36:5; 2 Corinthians 9:7</w:t>
      </w:r>
    </w:p>
  </w:endnote>
  <w:endnote w:id="34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31:2-6</w:t>
      </w:r>
    </w:p>
  </w:endnote>
  <w:endnote w:id="35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36:1</w:t>
      </w:r>
    </w:p>
  </w:endnote>
  <w:endnote w:id="36">
    <w:p w:rsidR="005A3C52" w:rsidRDefault="005A3C52">
      <w:pPr>
        <w:pStyle w:val="EndnoteText"/>
      </w:pPr>
      <w:r>
        <w:rPr>
          <w:rStyle w:val="EndnoteReference"/>
        </w:rPr>
        <w:endnoteRef/>
      </w:r>
      <w:r>
        <w:t xml:space="preserve"> Exodus 31:3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0D54" w:rsidRDefault="00FA0D54">
      <w:r>
        <w:separator/>
      </w:r>
    </w:p>
  </w:footnote>
  <w:footnote w:type="continuationSeparator" w:id="0">
    <w:p w:rsidR="00FA0D54" w:rsidRDefault="00FA0D54">
      <w:r>
        <w:continuationSeparator/>
      </w:r>
    </w:p>
  </w:footnote>
  <w:footnote w:id="1">
    <w:p w:rsidR="005A3C52" w:rsidRDefault="005A3C5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“wise of heart.”</w:t>
      </w:r>
    </w:p>
  </w:footnote>
  <w:footnote w:id="2">
    <w:p w:rsidR="005A3C52" w:rsidRDefault="005A3C5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“curtain.”</w:t>
      </w:r>
    </w:p>
  </w:footnote>
  <w:footnote w:id="3">
    <w:p w:rsidR="005A3C52" w:rsidRDefault="005A3C5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“curtain.”</w:t>
      </w:r>
    </w:p>
  </w:footnote>
  <w:footnote w:id="4">
    <w:p w:rsidR="005A3C52" w:rsidRDefault="005A3C5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“wave offerings.”</w:t>
      </w:r>
    </w:p>
  </w:footnote>
  <w:footnote w:id="5">
    <w:p w:rsidR="005A3C52" w:rsidRDefault="005A3C5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“wisdom of heart.”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A3C52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A3C52">
        <w:t>Exodus Chapter 35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A3C52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A3C52">
      <w:rPr>
        <w:noProof/>
        <w:snapToGrid w:val="0"/>
      </w:rPr>
      <w:t>Exodus 35.Advisor.docx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A3C52">
        <w:t>Exodus Chapter 35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A3C52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A3C52">
      <w:rPr>
        <w:noProof/>
        <w:snapToGrid w:val="0"/>
      </w:rPr>
      <w:t>Exodus 35.Advisor.docx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A3C5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A3C5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A3C5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A3C52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D54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A3C52"/>
    <w:rsid w:val="005D4494"/>
    <w:rsid w:val="005F29B7"/>
    <w:rsid w:val="00631BD2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A0D54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224f9e7c399843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5A3C5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A3C52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5A3C52"/>
    <w:rPr>
      <w:vertAlign w:val="superscript"/>
    </w:rPr>
  </w:style>
  <w:style w:type="paragraph" w:styleId="EndnoteText">
    <w:name w:val="endnote text"/>
    <w:basedOn w:val="Normal"/>
    <w:link w:val="EndnoteTextChar"/>
    <w:rsid w:val="005A3C52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5A3C52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5A3C5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5A3C5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A3C52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5A3C52"/>
    <w:rPr>
      <w:vertAlign w:val="superscript"/>
    </w:rPr>
  </w:style>
  <w:style w:type="paragraph" w:styleId="EndnoteText">
    <w:name w:val="endnote text"/>
    <w:basedOn w:val="Normal"/>
    <w:link w:val="EndnoteTextChar"/>
    <w:rsid w:val="005A3C52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5A3C52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5A3C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224f9e7c399843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750</ap:Words>
  <ap:Characters>3466</ap:Characters>
  <ap:Application>Microsoft Office Word</ap:Application>
  <ap:DocSecurity>0</ap:DocSecurity>
  <ap:Lines>55</ap:Lines>
  <ap:Paragraphs>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4208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35</dc:title>
  <dc:subject/>
  <dc:creator>David Waterson</dc:creator>
  <cp:keywords/>
  <dc:description/>
  <cp:lastModifiedBy>David Waterson</cp:lastModifiedBy>
  <cp:revision>3</cp:revision>
  <dcterms:created xsi:type="dcterms:W3CDTF">2019-08-04T13:53:00Z</dcterms:created>
  <dcterms:modified xsi:type="dcterms:W3CDTF">2019-08-04T13:53:00Z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35.docx</vt:lpwstr>
  </property>
  <property fmtid="{D5CDD505-2E9C-101B-9397-08002B2CF9AE}" pid="9" name="_TranslationDocumentId">
    <vt:i4>19415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2035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