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C64" w:rsidRDefault="00387C64" w:rsidP="00387C64">
      <w:pPr>
        <w:rPr>
          <w:rFonts w:eastAsia="Segoe UI" w:cs="Arial"/>
          <w:b/>
        </w:rPr>
      </w:pPr>
      <w:bookmarkStart w:id="0" w:name="_GoBack"/>
      <w:bookmarkEnd w:id="0"/>
      <w:r>
        <w:rPr>
          <w:rFonts w:eastAsia="Segoe UI" w:cs="Arial"/>
          <w:b/>
        </w:rPr>
        <w:t>LEVITICUS</w:t>
      </w:r>
    </w:p>
    <w:p w:rsidR="00387C64" w:rsidRDefault="00387C64" w:rsidP="00387C64">
      <w:pPr>
        <w:rPr>
          <w:rFonts w:ascii="MEPS Bookman WTS" w:eastAsia="Segoe UI" w:hAnsi="MEPS Bookman WTS" w:cs="Segoe UI"/>
        </w:rPr>
      </w:pPr>
      <w:r>
        <w:rPr>
          <w:rFonts w:eastAsia="Segoe UI" w:cs="Arial"/>
          <w:b/>
        </w:rPr>
        <w:t xml:space="preserve">1:1 </w:t>
      </w:r>
      <w:r>
        <w:rPr>
          <w:rFonts w:eastAsia="Segoe UI" w:cs="Arial"/>
        </w:rPr>
        <w:t>And Jehovah called Moses and spoke to him from the tent of meeting,</w:t>
      </w:r>
      <w:r w:rsidR="00BB0A00">
        <w:rPr>
          <w:rStyle w:val="EndnoteReference"/>
          <w:rFonts w:eastAsia="Segoe UI" w:cs="Arial"/>
        </w:rPr>
        <w:endnoteReference w:id="1"/>
      </w:r>
      <w:r>
        <w:rPr>
          <w:rFonts w:eastAsia="Segoe UI" w:cs="Arial"/>
        </w:rPr>
        <w:t xml:space="preserve"> saying: </w:t>
      </w:r>
      <w:r>
        <w:rPr>
          <w:rFonts w:eastAsia="Segoe UI" w:cs="Arial"/>
          <w:b/>
        </w:rPr>
        <w:t xml:space="preserve">2 </w:t>
      </w:r>
      <w:r>
        <w:rPr>
          <w:rFonts w:eastAsia="Segoe UI" w:cs="Arial"/>
        </w:rPr>
        <w:t>“Speak to the Israelites</w:t>
      </w:r>
      <w:r w:rsidR="00BB0A00">
        <w:rPr>
          <w:rStyle w:val="FootnoteReference"/>
          <w:rFonts w:eastAsia="Segoe UI" w:cs="Arial"/>
        </w:rPr>
        <w:footnoteReference w:id="1"/>
      </w:r>
      <w:r>
        <w:rPr>
          <w:rFonts w:eastAsia="Segoe UI" w:cs="Arial"/>
        </w:rPr>
        <w:t xml:space="preserve"> and tell them, ‘If any one of you would present an offering to Jehovah from the domestic animals, you should present your offering from the herd or from the flock.</w:t>
      </w:r>
      <w:r w:rsidR="00BB0A00">
        <w:rPr>
          <w:rStyle w:val="EndnoteReference"/>
          <w:rFonts w:eastAsia="Segoe UI" w:cs="Arial"/>
        </w:rPr>
        <w:endnoteReference w:id="2"/>
      </w:r>
    </w:p>
    <w:p w:rsidR="00387C64" w:rsidRDefault="00387C64" w:rsidP="00387C64">
      <w:pPr>
        <w:rPr>
          <w:rFonts w:eastAsia="Segoe UI" w:cs="Arial"/>
        </w:rPr>
      </w:pPr>
      <w:r>
        <w:rPr>
          <w:rFonts w:eastAsia="Segoe UI" w:cs="Arial"/>
          <w:b/>
        </w:rPr>
        <w:t xml:space="preserve">3 </w:t>
      </w:r>
      <w:r>
        <w:rPr>
          <w:rFonts w:eastAsia="Segoe UI" w:cs="Arial"/>
        </w:rPr>
        <w:t>“‘If his offering is a burnt offering from the herd, he should present a sound male animal.</w:t>
      </w:r>
      <w:r w:rsidR="00BB0A00">
        <w:rPr>
          <w:rStyle w:val="EndnoteReference"/>
          <w:rFonts w:eastAsia="Segoe UI" w:cs="Arial"/>
        </w:rPr>
        <w:endnoteReference w:id="3"/>
      </w:r>
      <w:r>
        <w:rPr>
          <w:rFonts w:eastAsia="Segoe UI" w:cs="Arial"/>
        </w:rPr>
        <w:t xml:space="preserve"> He should present it of his own free will</w:t>
      </w:r>
      <w:r w:rsidR="00BB0A00">
        <w:rPr>
          <w:rStyle w:val="EndnoteReference"/>
          <w:rFonts w:eastAsia="Segoe UI" w:cs="Arial"/>
        </w:rPr>
        <w:endnoteReference w:id="4"/>
      </w:r>
      <w:r>
        <w:rPr>
          <w:rFonts w:eastAsia="Segoe UI" w:cs="Arial"/>
        </w:rPr>
        <w:t xml:space="preserve"> before Jehovah at the entrance of the tent of meeting. </w:t>
      </w:r>
      <w:r>
        <w:rPr>
          <w:rFonts w:eastAsia="Segoe UI" w:cs="Arial"/>
          <w:b/>
        </w:rPr>
        <w:t xml:space="preserve">4 </w:t>
      </w:r>
      <w:r>
        <w:rPr>
          <w:rFonts w:eastAsia="Segoe UI" w:cs="Arial"/>
        </w:rPr>
        <w:t>He is to lay his hand on the head of the burnt offering, and it will be accepted in his behalf to make atonement for him.</w:t>
      </w:r>
    </w:p>
    <w:p w:rsidR="00387C64" w:rsidRDefault="00387C64" w:rsidP="00387C64">
      <w:pPr>
        <w:rPr>
          <w:rFonts w:ascii="MEPS Bookman WTS" w:eastAsia="Segoe UI" w:hAnsi="MEPS Bookman WTS" w:cs="Segoe UI"/>
        </w:rPr>
      </w:pPr>
      <w:r>
        <w:rPr>
          <w:rFonts w:eastAsia="Segoe UI" w:cs="Arial"/>
          <w:b/>
        </w:rPr>
        <w:t xml:space="preserve">5 </w:t>
      </w:r>
      <w:r>
        <w:rPr>
          <w:rFonts w:eastAsia="Segoe UI" w:cs="Arial"/>
        </w:rPr>
        <w:t>“‘Then the young bull must be slaughtered before Jehovah, and the sons of Aaron, the priests,</w:t>
      </w:r>
      <w:r w:rsidR="00BB0A00">
        <w:rPr>
          <w:rStyle w:val="EndnoteReference"/>
          <w:rFonts w:eastAsia="Segoe UI" w:cs="Arial"/>
        </w:rPr>
        <w:endnoteReference w:id="5"/>
      </w:r>
      <w:r>
        <w:rPr>
          <w:rFonts w:eastAsia="Segoe UI" w:cs="Arial"/>
        </w:rPr>
        <w:t xml:space="preserve"> will present the blood and sprinkle the blood on all sides of the altar,</w:t>
      </w:r>
      <w:r w:rsidR="00BB0A00">
        <w:rPr>
          <w:rStyle w:val="EndnoteReference"/>
          <w:rFonts w:eastAsia="Segoe UI" w:cs="Arial"/>
        </w:rPr>
        <w:endnoteReference w:id="6"/>
      </w:r>
      <w:r>
        <w:rPr>
          <w:rFonts w:eastAsia="Segoe UI" w:cs="Arial"/>
        </w:rPr>
        <w:t xml:space="preserve"> which is at the entrance of the tent of meeting. </w:t>
      </w:r>
      <w:r>
        <w:rPr>
          <w:rFonts w:eastAsia="Segoe UI" w:cs="Arial"/>
          <w:b/>
        </w:rPr>
        <w:t xml:space="preserve">6 </w:t>
      </w:r>
      <w:r>
        <w:rPr>
          <w:rFonts w:eastAsia="Segoe UI" w:cs="Arial"/>
        </w:rPr>
        <w:t>The burnt offering should be skinned and cut into pieces.</w:t>
      </w:r>
      <w:r w:rsidR="00BB0A00">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7 </w:t>
      </w:r>
      <w:r>
        <w:rPr>
          <w:rFonts w:eastAsia="Segoe UI" w:cs="Arial"/>
        </w:rPr>
        <w:t>The sons of Aaron, the priests, are to put fire on the altar</w:t>
      </w:r>
      <w:r w:rsidR="00BB0A00">
        <w:rPr>
          <w:rStyle w:val="EndnoteReference"/>
          <w:rFonts w:eastAsia="Segoe UI" w:cs="Arial"/>
        </w:rPr>
        <w:endnoteReference w:id="8"/>
      </w:r>
      <w:r>
        <w:rPr>
          <w:rFonts w:eastAsia="Segoe UI" w:cs="Arial"/>
        </w:rPr>
        <w:t xml:space="preserve"> and arrange wood on the fire. </w:t>
      </w:r>
      <w:r>
        <w:rPr>
          <w:rFonts w:eastAsia="Segoe UI" w:cs="Arial"/>
          <w:b/>
        </w:rPr>
        <w:t xml:space="preserve">8 </w:t>
      </w:r>
      <w:r>
        <w:rPr>
          <w:rFonts w:eastAsia="Segoe UI" w:cs="Arial"/>
        </w:rPr>
        <w:t>The sons of Aaron, the priests, will arrange the pieces of the offering</w:t>
      </w:r>
      <w:r w:rsidR="00BB0A00">
        <w:rPr>
          <w:rStyle w:val="EndnoteReference"/>
          <w:rFonts w:eastAsia="Segoe UI" w:cs="Arial"/>
        </w:rPr>
        <w:endnoteReference w:id="9"/>
      </w:r>
      <w:r>
        <w:rPr>
          <w:rFonts w:eastAsia="Segoe UI" w:cs="Arial"/>
        </w:rPr>
        <w:t xml:space="preserve"> with the head and the suet</w:t>
      </w:r>
      <w:r w:rsidR="00BB0A00">
        <w:rPr>
          <w:rStyle w:val="FootnoteReference"/>
          <w:rFonts w:eastAsia="Segoe UI" w:cs="Arial"/>
        </w:rPr>
        <w:footnoteReference w:id="2"/>
      </w:r>
      <w:r>
        <w:rPr>
          <w:rFonts w:eastAsia="Segoe UI" w:cs="Arial"/>
        </w:rPr>
        <w:t xml:space="preserve"> over the wood that is on the fire on the altar. </w:t>
      </w:r>
      <w:r>
        <w:rPr>
          <w:rFonts w:eastAsia="Segoe UI" w:cs="Arial"/>
          <w:b/>
        </w:rPr>
        <w:t xml:space="preserve">9 </w:t>
      </w:r>
      <w:r>
        <w:rPr>
          <w:rFonts w:eastAsia="Segoe UI" w:cs="Arial"/>
        </w:rPr>
        <w:t>Its intestines and its shanks will be washed with water, and the priest is to make all of it smoke on the altar as a burnt offering, an offering made by fire of a pleasing</w:t>
      </w:r>
      <w:r w:rsidR="00BB0A00">
        <w:rPr>
          <w:rStyle w:val="FootnoteReference"/>
          <w:rFonts w:eastAsia="Segoe UI" w:cs="Arial"/>
        </w:rPr>
        <w:footnoteReference w:id="3"/>
      </w:r>
      <w:r>
        <w:rPr>
          <w:rFonts w:eastAsia="Segoe UI" w:cs="Arial"/>
        </w:rPr>
        <w:t xml:space="preserve"> aroma to Jehovah.</w:t>
      </w:r>
      <w:r w:rsidR="00BB0A00">
        <w:rPr>
          <w:rStyle w:val="EndnoteReference"/>
          <w:rFonts w:eastAsia="Segoe UI" w:cs="Arial"/>
        </w:rPr>
        <w:endnoteReference w:id="10"/>
      </w:r>
    </w:p>
    <w:p w:rsidR="00387C64" w:rsidRDefault="00387C64" w:rsidP="00387C64">
      <w:pPr>
        <w:rPr>
          <w:rFonts w:eastAsia="Segoe UI" w:cs="Arial"/>
        </w:rPr>
      </w:pPr>
      <w:r>
        <w:rPr>
          <w:rFonts w:eastAsia="Segoe UI" w:cs="Arial"/>
          <w:b/>
        </w:rPr>
        <w:t xml:space="preserve">10 </w:t>
      </w:r>
      <w:r>
        <w:rPr>
          <w:rFonts w:eastAsia="Segoe UI" w:cs="Arial"/>
        </w:rPr>
        <w:t>“‘If his offering for a burnt offering is from the flock,</w:t>
      </w:r>
      <w:r w:rsidR="00BB0A00">
        <w:rPr>
          <w:rStyle w:val="EndnoteReference"/>
          <w:rFonts w:eastAsia="Segoe UI" w:cs="Arial"/>
        </w:rPr>
        <w:endnoteReference w:id="11"/>
      </w:r>
      <w:r>
        <w:rPr>
          <w:rFonts w:eastAsia="Segoe UI" w:cs="Arial"/>
        </w:rPr>
        <w:t xml:space="preserve"> from the young rams or the goats, he should present a sound male.</w:t>
      </w:r>
      <w:r w:rsidR="00BB0A00">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11 </w:t>
      </w:r>
      <w:r>
        <w:rPr>
          <w:rFonts w:eastAsia="Segoe UI" w:cs="Arial"/>
        </w:rPr>
        <w:t>It is to be slaughtered at the north side of the altar before Jehovah, and the sons of Aaron, the priests, will sprinkle its blood on all sides of the altar.</w:t>
      </w:r>
      <w:r w:rsidR="00BB0A00">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12 </w:t>
      </w:r>
      <w:r>
        <w:rPr>
          <w:rFonts w:eastAsia="Segoe UI" w:cs="Arial"/>
        </w:rPr>
        <w:t>He will cut it up into pieces, and with its head and its suet,</w:t>
      </w:r>
      <w:r w:rsidR="00BB0A00">
        <w:rPr>
          <w:rStyle w:val="FootnoteReference"/>
          <w:rFonts w:eastAsia="Segoe UI" w:cs="Arial"/>
        </w:rPr>
        <w:footnoteReference w:id="4"/>
      </w:r>
      <w:r>
        <w:rPr>
          <w:rFonts w:eastAsia="Segoe UI" w:cs="Arial"/>
        </w:rPr>
        <w:t xml:space="preserve"> the priest will arrange them over the wood on the fire on the altar. </w:t>
      </w:r>
      <w:r>
        <w:rPr>
          <w:rFonts w:eastAsia="Segoe UI" w:cs="Arial"/>
          <w:b/>
        </w:rPr>
        <w:t xml:space="preserve">13 </w:t>
      </w:r>
      <w:r>
        <w:rPr>
          <w:rFonts w:eastAsia="Segoe UI" w:cs="Arial"/>
        </w:rPr>
        <w:t>He will wash the intestines and the shanks with water, and the priest will present all of it and make it smoke on the altar. It is a burnt offering, an offering made by fire of a pleasing</w:t>
      </w:r>
      <w:r w:rsidR="00BB0A00">
        <w:rPr>
          <w:rStyle w:val="FootnoteReference"/>
          <w:rFonts w:eastAsia="Segoe UI" w:cs="Arial"/>
        </w:rPr>
        <w:footnoteReference w:id="5"/>
      </w:r>
      <w:r>
        <w:rPr>
          <w:rFonts w:eastAsia="Segoe UI" w:cs="Arial"/>
        </w:rPr>
        <w:t xml:space="preserve"> aroma to Jehovah.</w:t>
      </w:r>
    </w:p>
    <w:p w:rsidR="00387C64" w:rsidRDefault="00387C64" w:rsidP="00387C64">
      <w:pPr>
        <w:rPr>
          <w:rFonts w:eastAsia="Segoe UI" w:cs="Arial"/>
        </w:rPr>
      </w:pPr>
      <w:r>
        <w:rPr>
          <w:rFonts w:eastAsia="Segoe UI" w:cs="Arial"/>
          <w:b/>
        </w:rPr>
        <w:t xml:space="preserve">14 </w:t>
      </w:r>
      <w:r>
        <w:rPr>
          <w:rFonts w:eastAsia="Segoe UI" w:cs="Arial"/>
        </w:rPr>
        <w:t>“‘However, if he offers birds as a burnt offering to Jehovah, he will present his offering from the turtledoves or the young pigeons.</w:t>
      </w:r>
      <w:r w:rsidR="00BB0A00">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15 </w:t>
      </w:r>
      <w:r>
        <w:rPr>
          <w:rFonts w:eastAsia="Segoe UI" w:cs="Arial"/>
        </w:rPr>
        <w:t xml:space="preserve">The priest will present it at the altar and nip off its head and make it smoke on the altar, but its blood should be drained out on the side of the altar. </w:t>
      </w:r>
      <w:r>
        <w:rPr>
          <w:rFonts w:eastAsia="Segoe UI" w:cs="Arial"/>
          <w:b/>
        </w:rPr>
        <w:t xml:space="preserve">16 </w:t>
      </w:r>
      <w:r>
        <w:rPr>
          <w:rFonts w:eastAsia="Segoe UI" w:cs="Arial"/>
        </w:rPr>
        <w:t>He should remove its crop and its feathers and throw them beside the altar, to the east, to the place for the ashes.</w:t>
      </w:r>
      <w:r w:rsidR="00BB0A00">
        <w:rPr>
          <w:rStyle w:val="FootnoteReference"/>
          <w:rFonts w:eastAsia="Segoe UI" w:cs="Arial"/>
        </w:rPr>
        <w:footnoteReference w:id="6"/>
      </w:r>
      <w:r w:rsidR="00BB0A00">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17 </w:t>
      </w:r>
      <w:r>
        <w:rPr>
          <w:rFonts w:eastAsia="Segoe UI" w:cs="Arial"/>
        </w:rPr>
        <w:t>He will split it at its wings without dividing it into two parts. Then the priest will make it smoke on the altar over the wood that is on the fire. It is a burnt offering, an offering made by fire of a pleasing</w:t>
      </w:r>
      <w:r w:rsidR="00BB0A00">
        <w:rPr>
          <w:rStyle w:val="FootnoteReference"/>
          <w:rFonts w:eastAsia="Segoe UI" w:cs="Arial"/>
        </w:rPr>
        <w:footnoteReference w:id="7"/>
      </w:r>
      <w:r>
        <w:rPr>
          <w:rFonts w:eastAsia="Segoe UI" w:cs="Arial"/>
        </w:rPr>
        <w:t xml:space="preserve"> aroma to Jehovah.</w:t>
      </w:r>
    </w:p>
    <w:p w:rsidR="00762BCB" w:rsidRPr="00387C64" w:rsidRDefault="00762BCB" w:rsidP="00387C64"/>
    <w:sectPr w:rsidR="00762BCB" w:rsidRPr="00387C64"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3E57" w:rsidRDefault="00F13E57">
      <w:r>
        <w:separator/>
      </w:r>
    </w:p>
  </w:endnote>
  <w:endnote w:type="continuationSeparator" w:id="0">
    <w:p w:rsidR="00F13E57" w:rsidRDefault="00F13E57">
      <w:r>
        <w:continuationSeparator/>
      </w:r>
    </w:p>
  </w:endnote>
  <w:endnote w:id="1">
    <w:p w:rsidR="00BB0A00" w:rsidRDefault="00BB0A00">
      <w:pPr>
        <w:pStyle w:val="EndnoteText"/>
      </w:pPr>
      <w:r>
        <w:rPr>
          <w:rStyle w:val="EndnoteReference"/>
        </w:rPr>
        <w:endnoteRef/>
      </w:r>
      <w:r>
        <w:t xml:space="preserve"> Exodus 40:34</w:t>
      </w:r>
    </w:p>
  </w:endnote>
  <w:endnote w:id="2">
    <w:p w:rsidR="00BB0A00" w:rsidRDefault="00BB0A00">
      <w:pPr>
        <w:pStyle w:val="EndnoteText"/>
      </w:pPr>
      <w:r>
        <w:rPr>
          <w:rStyle w:val="EndnoteReference"/>
        </w:rPr>
        <w:endnoteRef/>
      </w:r>
      <w:r>
        <w:t xml:space="preserve"> Leviticus 22:18-20</w:t>
      </w:r>
    </w:p>
  </w:endnote>
  <w:endnote w:id="3">
    <w:p w:rsidR="00BB0A00" w:rsidRDefault="00BB0A00">
      <w:pPr>
        <w:pStyle w:val="EndnoteText"/>
      </w:pPr>
      <w:r>
        <w:rPr>
          <w:rStyle w:val="EndnoteReference"/>
        </w:rPr>
        <w:endnoteRef/>
      </w:r>
      <w:r>
        <w:t xml:space="preserve"> Deuteronomy 15:19, 21; Malachi 1:14</w:t>
      </w:r>
    </w:p>
  </w:endnote>
  <w:endnote w:id="4">
    <w:p w:rsidR="00BB0A00" w:rsidRDefault="00BB0A00">
      <w:pPr>
        <w:pStyle w:val="EndnoteText"/>
      </w:pPr>
      <w:r>
        <w:rPr>
          <w:rStyle w:val="EndnoteReference"/>
        </w:rPr>
        <w:endnoteRef/>
      </w:r>
      <w:r>
        <w:t xml:space="preserve"> 2 Corinthians 9:7</w:t>
      </w:r>
    </w:p>
  </w:endnote>
  <w:endnote w:id="5">
    <w:p w:rsidR="00BB0A00" w:rsidRDefault="00BB0A00">
      <w:pPr>
        <w:pStyle w:val="EndnoteText"/>
      </w:pPr>
      <w:r>
        <w:rPr>
          <w:rStyle w:val="EndnoteReference"/>
        </w:rPr>
        <w:endnoteRef/>
      </w:r>
      <w:r>
        <w:t xml:space="preserve"> Hebrews 10:11</w:t>
      </w:r>
    </w:p>
  </w:endnote>
  <w:endnote w:id="6">
    <w:p w:rsidR="00BB0A00" w:rsidRDefault="00BB0A00">
      <w:pPr>
        <w:pStyle w:val="EndnoteText"/>
      </w:pPr>
      <w:r>
        <w:rPr>
          <w:rStyle w:val="EndnoteReference"/>
        </w:rPr>
        <w:endnoteRef/>
      </w:r>
      <w:r>
        <w:t xml:space="preserve"> Hebrews 9:13, 14</w:t>
      </w:r>
    </w:p>
  </w:endnote>
  <w:endnote w:id="7">
    <w:p w:rsidR="00BB0A00" w:rsidRDefault="00BB0A00">
      <w:pPr>
        <w:pStyle w:val="EndnoteText"/>
      </w:pPr>
      <w:r>
        <w:rPr>
          <w:rStyle w:val="EndnoteReference"/>
        </w:rPr>
        <w:endnoteRef/>
      </w:r>
      <w:r>
        <w:t xml:space="preserve"> Leviticus 7:8</w:t>
      </w:r>
    </w:p>
  </w:endnote>
  <w:endnote w:id="8">
    <w:p w:rsidR="00BB0A00" w:rsidRDefault="00BB0A00">
      <w:pPr>
        <w:pStyle w:val="EndnoteText"/>
      </w:pPr>
      <w:r>
        <w:rPr>
          <w:rStyle w:val="EndnoteReference"/>
        </w:rPr>
        <w:endnoteRef/>
      </w:r>
      <w:r>
        <w:t xml:space="preserve"> Leviticus 6:12</w:t>
      </w:r>
    </w:p>
  </w:endnote>
  <w:endnote w:id="9">
    <w:p w:rsidR="00BB0A00" w:rsidRDefault="00BB0A00">
      <w:pPr>
        <w:pStyle w:val="EndnoteText"/>
      </w:pPr>
      <w:r>
        <w:rPr>
          <w:rStyle w:val="EndnoteReference"/>
        </w:rPr>
        <w:endnoteRef/>
      </w:r>
      <w:r>
        <w:t xml:space="preserve"> 1 Kings 18:23</w:t>
      </w:r>
    </w:p>
  </w:endnote>
  <w:endnote w:id="10">
    <w:p w:rsidR="00BB0A00" w:rsidRDefault="00BB0A00">
      <w:pPr>
        <w:pStyle w:val="EndnoteText"/>
      </w:pPr>
      <w:r>
        <w:rPr>
          <w:rStyle w:val="EndnoteReference"/>
        </w:rPr>
        <w:endnoteRef/>
      </w:r>
      <w:r>
        <w:t xml:space="preserve"> Genesis 8:20, 21; Numbers 15:2, 3</w:t>
      </w:r>
    </w:p>
  </w:endnote>
  <w:endnote w:id="11">
    <w:p w:rsidR="00BB0A00" w:rsidRDefault="00BB0A00">
      <w:pPr>
        <w:pStyle w:val="EndnoteText"/>
      </w:pPr>
      <w:r>
        <w:rPr>
          <w:rStyle w:val="EndnoteReference"/>
        </w:rPr>
        <w:endnoteRef/>
      </w:r>
      <w:r>
        <w:t xml:space="preserve"> Genesis 4:4</w:t>
      </w:r>
    </w:p>
  </w:endnote>
  <w:endnote w:id="12">
    <w:p w:rsidR="00BB0A00" w:rsidRDefault="00BB0A00">
      <w:pPr>
        <w:pStyle w:val="EndnoteText"/>
      </w:pPr>
      <w:r>
        <w:rPr>
          <w:rStyle w:val="EndnoteReference"/>
        </w:rPr>
        <w:endnoteRef/>
      </w:r>
      <w:r>
        <w:t xml:space="preserve"> Leviticus 12:6; 22:18-20</w:t>
      </w:r>
    </w:p>
  </w:endnote>
  <w:endnote w:id="13">
    <w:p w:rsidR="00BB0A00" w:rsidRDefault="00BB0A00">
      <w:pPr>
        <w:pStyle w:val="EndnoteText"/>
      </w:pPr>
      <w:r>
        <w:rPr>
          <w:rStyle w:val="EndnoteReference"/>
        </w:rPr>
        <w:endnoteRef/>
      </w:r>
      <w:r>
        <w:t xml:space="preserve"> Exodus 29:16-18; Leviticus 8:18-21; 9:12-14</w:t>
      </w:r>
    </w:p>
  </w:endnote>
  <w:endnote w:id="14">
    <w:p w:rsidR="00BB0A00" w:rsidRDefault="00BB0A00">
      <w:pPr>
        <w:pStyle w:val="EndnoteText"/>
      </w:pPr>
      <w:r>
        <w:rPr>
          <w:rStyle w:val="EndnoteReference"/>
        </w:rPr>
        <w:endnoteRef/>
      </w:r>
      <w:r>
        <w:t xml:space="preserve"> Leviticus 5:7; 12:8; Luke 2:24</w:t>
      </w:r>
    </w:p>
  </w:endnote>
  <w:endnote w:id="15">
    <w:p w:rsidR="00BB0A00" w:rsidRDefault="00BB0A00">
      <w:pPr>
        <w:pStyle w:val="EndnoteText"/>
      </w:pPr>
      <w:r>
        <w:rPr>
          <w:rStyle w:val="EndnoteReference"/>
        </w:rPr>
        <w:endnoteRef/>
      </w:r>
      <w:r>
        <w:t xml:space="preserve"> Exodus 27:3; Leviticus 4:11, 12; 6:10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3E57" w:rsidRDefault="00F13E57">
      <w:r>
        <w:separator/>
      </w:r>
    </w:p>
  </w:footnote>
  <w:footnote w:type="continuationSeparator" w:id="0">
    <w:p w:rsidR="00F13E57" w:rsidRDefault="00F13E57">
      <w:r>
        <w:continuationSeparator/>
      </w:r>
    </w:p>
  </w:footnote>
  <w:footnote w:id="1">
    <w:p w:rsidR="00BB0A00" w:rsidRDefault="00BB0A00">
      <w:pPr>
        <w:pStyle w:val="FootnoteText"/>
      </w:pPr>
      <w:r>
        <w:rPr>
          <w:rStyle w:val="FootnoteReference"/>
        </w:rPr>
        <w:footnoteRef/>
      </w:r>
      <w:r>
        <w:t xml:space="preserve"> </w:t>
      </w:r>
      <w:r>
        <w:t>Lit., “sons of Israel.”</w:t>
      </w:r>
    </w:p>
  </w:footnote>
  <w:footnote w:id="2">
    <w:p w:rsidR="00BB0A00" w:rsidRDefault="00BB0A00">
      <w:pPr>
        <w:pStyle w:val="FootnoteText"/>
      </w:pPr>
      <w:r>
        <w:rPr>
          <w:rStyle w:val="FootnoteReference"/>
        </w:rPr>
        <w:footnoteRef/>
      </w:r>
      <w:r>
        <w:t xml:space="preserve"> </w:t>
      </w:r>
      <w:r>
        <w:t>Or “the fat around the kidneys.”</w:t>
      </w:r>
    </w:p>
  </w:footnote>
  <w:footnote w:id="3">
    <w:p w:rsidR="00BB0A00" w:rsidRDefault="00BB0A00">
      <w:pPr>
        <w:pStyle w:val="FootnoteText"/>
      </w:pPr>
      <w:r>
        <w:rPr>
          <w:rStyle w:val="FootnoteReference"/>
        </w:rPr>
        <w:footnoteRef/>
      </w:r>
      <w:r>
        <w:t xml:space="preserve"> </w:t>
      </w:r>
      <w:r>
        <w:t>Or “appeasing; soothing.” Lit., “restful.”</w:t>
      </w:r>
    </w:p>
  </w:footnote>
  <w:footnote w:id="4">
    <w:p w:rsidR="00BB0A00" w:rsidRDefault="00BB0A00">
      <w:pPr>
        <w:pStyle w:val="FootnoteText"/>
      </w:pPr>
      <w:r>
        <w:rPr>
          <w:rStyle w:val="FootnoteReference"/>
        </w:rPr>
        <w:footnoteRef/>
      </w:r>
      <w:r>
        <w:t xml:space="preserve"> </w:t>
      </w:r>
      <w:r>
        <w:t>Or “the fat around the kidneys.”</w:t>
      </w:r>
    </w:p>
  </w:footnote>
  <w:footnote w:id="5">
    <w:p w:rsidR="00BB0A00" w:rsidRDefault="00BB0A00">
      <w:pPr>
        <w:pStyle w:val="FootnoteText"/>
      </w:pPr>
      <w:r>
        <w:rPr>
          <w:rStyle w:val="FootnoteReference"/>
        </w:rPr>
        <w:footnoteRef/>
      </w:r>
      <w:r>
        <w:t xml:space="preserve"> </w:t>
      </w:r>
      <w:r>
        <w:t>Or “appeasing; soothing.” Lit., “restful.”</w:t>
      </w:r>
    </w:p>
  </w:footnote>
  <w:footnote w:id="6">
    <w:p w:rsidR="00BB0A00" w:rsidRDefault="00BB0A00">
      <w:pPr>
        <w:pStyle w:val="FootnoteText"/>
      </w:pPr>
      <w:r>
        <w:rPr>
          <w:rStyle w:val="FootnoteReference"/>
        </w:rPr>
        <w:footnoteRef/>
      </w:r>
      <w:r>
        <w:t xml:space="preserve"> </w:t>
      </w:r>
      <w:r>
        <w:t>Or “fatty ashes,” that is, ashes soaked with the fat of the sacrifices.</w:t>
      </w:r>
    </w:p>
  </w:footnote>
  <w:footnote w:id="7">
    <w:p w:rsidR="00BB0A00" w:rsidRDefault="00BB0A00">
      <w:pPr>
        <w:pStyle w:val="FootnoteText"/>
      </w:pPr>
      <w:r>
        <w:rPr>
          <w:rStyle w:val="FootnoteReference"/>
        </w:rPr>
        <w:footnoteRef/>
      </w:r>
      <w:r>
        <w:t xml:space="preserve"> </w:t>
      </w:r>
      <w:r>
        <w:t>Or “appeasing; soothing.” Lit., “restful.”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B0A0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B0A00">
        <w:t>Leviticus Chapter 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B0A00">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B0A00">
      <w:rPr>
        <w:noProof/>
        <w:snapToGrid w:val="0"/>
      </w:rPr>
      <w:t>Leviticus 01.Advisor.docx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B0A00">
        <w:t>Leviticus Chapter 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B0A00">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B0A00">
      <w:rPr>
        <w:noProof/>
        <w:snapToGrid w:val="0"/>
      </w:rPr>
      <w:t>Leviticus 01.Advisor.docx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B0A0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B0A00">
      <w:t>&lt;not set&gt;</w:t>
    </w:r>
    <w:r>
      <w:fldChar w:fldCharType="end"/>
    </w:r>
    <w:r>
      <w:tab/>
      <w:t xml:space="preserve">Checker: </w:t>
    </w:r>
    <w:r>
      <w:fldChar w:fldCharType="begin"/>
    </w:r>
    <w:r>
      <w:instrText xml:space="preserve"> DOCPROPERTY "_RoleChecker" </w:instrText>
    </w:r>
    <w:r>
      <w:fldChar w:fldCharType="separate"/>
    </w:r>
    <w:r w:rsidR="00BB0A0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B0A0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E57"/>
    <w:rsid w:val="00245EDD"/>
    <w:rsid w:val="0026230D"/>
    <w:rsid w:val="002B524D"/>
    <w:rsid w:val="002C00A8"/>
    <w:rsid w:val="00310508"/>
    <w:rsid w:val="00387C64"/>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B0A00"/>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13E57"/>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16b7e36025e8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B0A00"/>
    <w:pPr>
      <w:spacing w:line="240" w:lineRule="auto"/>
    </w:pPr>
    <w:rPr>
      <w:sz w:val="20"/>
      <w:szCs w:val="20"/>
    </w:rPr>
  </w:style>
  <w:style w:type="character" w:customStyle="1" w:styleId="FootnoteTextChar">
    <w:name w:val="Footnote Text Char"/>
    <w:basedOn w:val="DefaultParagraphFont"/>
    <w:link w:val="FootnoteText"/>
    <w:rsid w:val="00BB0A00"/>
    <w:rPr>
      <w:rFonts w:ascii="Arial" w:eastAsia="Times New Roman" w:hAnsi="Arial" w:cs="Latha"/>
      <w:lang w:val="en-US" w:eastAsia="en-US" w:bidi="ta-IN"/>
    </w:rPr>
  </w:style>
  <w:style w:type="character" w:styleId="FootnoteReference">
    <w:name w:val="footnote reference"/>
    <w:basedOn w:val="DefaultParagraphFont"/>
    <w:rsid w:val="00BB0A00"/>
    <w:rPr>
      <w:vertAlign w:val="superscript"/>
    </w:rPr>
  </w:style>
  <w:style w:type="paragraph" w:styleId="EndnoteText">
    <w:name w:val="endnote text"/>
    <w:basedOn w:val="Normal"/>
    <w:link w:val="EndnoteTextChar"/>
    <w:rsid w:val="00BB0A00"/>
    <w:pPr>
      <w:spacing w:line="240" w:lineRule="auto"/>
    </w:pPr>
    <w:rPr>
      <w:sz w:val="20"/>
      <w:szCs w:val="20"/>
    </w:rPr>
  </w:style>
  <w:style w:type="character" w:customStyle="1" w:styleId="EndnoteTextChar">
    <w:name w:val="Endnote Text Char"/>
    <w:basedOn w:val="DefaultParagraphFont"/>
    <w:link w:val="EndnoteText"/>
    <w:rsid w:val="00BB0A00"/>
    <w:rPr>
      <w:rFonts w:ascii="Arial" w:eastAsia="Times New Roman" w:hAnsi="Arial" w:cs="Latha"/>
      <w:lang w:val="en-US" w:eastAsia="en-US" w:bidi="ta-IN"/>
    </w:rPr>
  </w:style>
  <w:style w:type="character" w:styleId="EndnoteReference">
    <w:name w:val="endnote reference"/>
    <w:basedOn w:val="DefaultParagraphFont"/>
    <w:rsid w:val="00BB0A0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B0A00"/>
    <w:pPr>
      <w:spacing w:line="240" w:lineRule="auto"/>
    </w:pPr>
    <w:rPr>
      <w:sz w:val="20"/>
      <w:szCs w:val="20"/>
    </w:rPr>
  </w:style>
  <w:style w:type="character" w:customStyle="1" w:styleId="FootnoteTextChar">
    <w:name w:val="Footnote Text Char"/>
    <w:basedOn w:val="DefaultParagraphFont"/>
    <w:link w:val="FootnoteText"/>
    <w:rsid w:val="00BB0A00"/>
    <w:rPr>
      <w:rFonts w:ascii="Arial" w:eastAsia="Times New Roman" w:hAnsi="Arial" w:cs="Latha"/>
      <w:lang w:val="en-US" w:eastAsia="en-US" w:bidi="ta-IN"/>
    </w:rPr>
  </w:style>
  <w:style w:type="character" w:styleId="FootnoteReference">
    <w:name w:val="footnote reference"/>
    <w:basedOn w:val="DefaultParagraphFont"/>
    <w:rsid w:val="00BB0A00"/>
    <w:rPr>
      <w:vertAlign w:val="superscript"/>
    </w:rPr>
  </w:style>
  <w:style w:type="paragraph" w:styleId="EndnoteText">
    <w:name w:val="endnote text"/>
    <w:basedOn w:val="Normal"/>
    <w:link w:val="EndnoteTextChar"/>
    <w:rsid w:val="00BB0A00"/>
    <w:pPr>
      <w:spacing w:line="240" w:lineRule="auto"/>
    </w:pPr>
    <w:rPr>
      <w:sz w:val="20"/>
      <w:szCs w:val="20"/>
    </w:rPr>
  </w:style>
  <w:style w:type="character" w:customStyle="1" w:styleId="EndnoteTextChar">
    <w:name w:val="Endnote Text Char"/>
    <w:basedOn w:val="DefaultParagraphFont"/>
    <w:link w:val="EndnoteText"/>
    <w:rsid w:val="00BB0A00"/>
    <w:rPr>
      <w:rFonts w:ascii="Arial" w:eastAsia="Times New Roman" w:hAnsi="Arial" w:cs="Latha"/>
      <w:lang w:val="en-US" w:eastAsia="en-US" w:bidi="ta-IN"/>
    </w:rPr>
  </w:style>
  <w:style w:type="character" w:styleId="EndnoteReference">
    <w:name w:val="endnote reference"/>
    <w:basedOn w:val="DefaultParagraphFont"/>
    <w:rsid w:val="00BB0A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16b7e36025e84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516</ap:Words>
  <ap:Characters>2095</ap:Characters>
  <ap:Application>Microsoft Office Word</ap:Application>
  <ap:DocSecurity>0</ap:DocSecurity>
  <ap:Lines>34</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2604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dc:title>
  <dc:subject/>
  <dc:creator>David Waterson</dc:creator>
  <cp:keywords/>
  <dc:description/>
  <cp:lastModifiedBy>David Waterson</cp:lastModifiedBy>
  <cp:revision>3</cp:revision>
  <dcterms:created xsi:type="dcterms:W3CDTF">2019-08-04T13:56:00Z</dcterms:created>
  <dcterms:modified xsi:type="dcterms:W3CDTF">2019-08-04T13:56:00Z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01.docx</vt:lpwstr>
  </property>
  <property fmtid="{D5CDD505-2E9C-101B-9397-08002B2CF9AE}" pid="9" name="_TranslationDocumentId">
    <vt:i4>19421</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