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0B53" w:rsidRDefault="00440B53" w:rsidP="00440B53">
      <w:pPr>
        <w:rPr>
          <w:rFonts w:eastAsia="Segoe UI" w:cs="Arial"/>
        </w:rPr>
      </w:pPr>
      <w:bookmarkStart w:id="0" w:name="_GoBack"/>
      <w:bookmarkEnd w:id="0"/>
      <w:r>
        <w:rPr>
          <w:rFonts w:eastAsia="Segoe UI" w:cs="Arial"/>
          <w:b/>
        </w:rPr>
        <w:t xml:space="preserve">5:1 </w:t>
      </w:r>
      <w:r>
        <w:rPr>
          <w:rFonts w:eastAsia="Segoe UI" w:cs="Arial"/>
        </w:rPr>
        <w:t>“‘If someone</w:t>
      </w:r>
      <w:r w:rsidR="00384D86">
        <w:rPr>
          <w:rStyle w:val="FootnoteReference"/>
          <w:rFonts w:eastAsia="Segoe UI" w:cs="Arial"/>
        </w:rPr>
        <w:footnoteReference w:id="1"/>
      </w:r>
      <w:r>
        <w:rPr>
          <w:rFonts w:eastAsia="Segoe UI" w:cs="Arial"/>
        </w:rPr>
        <w:t xml:space="preserve"> sins because he has heard a public call to testify</w:t>
      </w:r>
      <w:r w:rsidR="00384D86">
        <w:rPr>
          <w:rStyle w:val="FootnoteReference"/>
          <w:rFonts w:eastAsia="Segoe UI" w:cs="Arial"/>
        </w:rPr>
        <w:footnoteReference w:id="2"/>
      </w:r>
      <w:r w:rsidR="00384D86">
        <w:rPr>
          <w:rStyle w:val="EndnoteReference"/>
          <w:rFonts w:eastAsia="Segoe UI" w:cs="Arial"/>
        </w:rPr>
        <w:endnoteReference w:id="1"/>
      </w:r>
      <w:r>
        <w:rPr>
          <w:rFonts w:eastAsia="Segoe UI" w:cs="Arial"/>
        </w:rPr>
        <w:t xml:space="preserve"> and he is a witness or has seen or learned about it and he does not report it, then he will answer for his error.</w:t>
      </w:r>
    </w:p>
    <w:p w:rsidR="00440B53" w:rsidRDefault="00440B53" w:rsidP="00440B53">
      <w:pPr>
        <w:rPr>
          <w:rFonts w:eastAsia="Segoe UI" w:cs="Arial"/>
        </w:rPr>
      </w:pPr>
      <w:r>
        <w:rPr>
          <w:rFonts w:eastAsia="Segoe UI" w:cs="Arial"/>
          <w:b/>
        </w:rPr>
        <w:t xml:space="preserve">2 </w:t>
      </w:r>
      <w:r>
        <w:rPr>
          <w:rFonts w:eastAsia="Segoe UI" w:cs="Arial"/>
        </w:rPr>
        <w:t>“‘Or when a person</w:t>
      </w:r>
      <w:r w:rsidR="00384D86">
        <w:rPr>
          <w:rStyle w:val="FootnoteReference"/>
          <w:rFonts w:eastAsia="Segoe UI" w:cs="Arial"/>
        </w:rPr>
        <w:footnoteReference w:id="3"/>
      </w:r>
      <w:r>
        <w:rPr>
          <w:rFonts w:eastAsia="Segoe UI" w:cs="Arial"/>
        </w:rPr>
        <w:t xml:space="preserve"> touches anything unclean, whether the dead body of an unclean wild animal, an unclean domestic animal, or an unclean swarming creature,</w:t>
      </w:r>
      <w:r w:rsidR="00384D86">
        <w:rPr>
          <w:rStyle w:val="EndnoteReference"/>
          <w:rFonts w:eastAsia="Segoe UI" w:cs="Arial"/>
        </w:rPr>
        <w:endnoteReference w:id="2"/>
      </w:r>
      <w:r>
        <w:rPr>
          <w:rFonts w:eastAsia="Segoe UI" w:cs="Arial"/>
        </w:rPr>
        <w:t xml:space="preserve"> he is unclean and has become guilty even if he does not realize it. </w:t>
      </w:r>
      <w:r>
        <w:rPr>
          <w:rFonts w:eastAsia="Segoe UI" w:cs="Arial"/>
          <w:b/>
        </w:rPr>
        <w:t xml:space="preserve">3 </w:t>
      </w:r>
      <w:r>
        <w:rPr>
          <w:rFonts w:eastAsia="Segoe UI" w:cs="Arial"/>
        </w:rPr>
        <w:t>Or in case someone without being aware of it touches human uncleanness</w:t>
      </w:r>
      <w:r w:rsidR="00384D86">
        <w:rPr>
          <w:rStyle w:val="EndnoteReference"/>
          <w:rFonts w:eastAsia="Segoe UI" w:cs="Arial"/>
        </w:rPr>
        <w:endnoteReference w:id="3"/>
      </w:r>
      <w:r>
        <w:rPr>
          <w:rFonts w:eastAsia="Segoe UI" w:cs="Arial"/>
        </w:rPr>
        <w:t>—anything unclean that may make him unclean—and he comes to know it, then he becomes guilty.</w:t>
      </w:r>
    </w:p>
    <w:p w:rsidR="00440B53" w:rsidRDefault="00440B53" w:rsidP="00440B53">
      <w:pPr>
        <w:rPr>
          <w:rFonts w:ascii="MEPS Bookman WTS" w:eastAsia="Segoe UI" w:hAnsi="MEPS Bookman WTS" w:cs="Segoe UI"/>
        </w:rPr>
      </w:pPr>
      <w:r>
        <w:rPr>
          <w:rFonts w:eastAsia="Segoe UI" w:cs="Arial"/>
          <w:b/>
        </w:rPr>
        <w:t xml:space="preserve">4 </w:t>
      </w:r>
      <w:r>
        <w:rPr>
          <w:rFonts w:eastAsia="Segoe UI" w:cs="Arial"/>
        </w:rPr>
        <w:t>“‘Or if someone</w:t>
      </w:r>
      <w:r w:rsidR="00384D86">
        <w:rPr>
          <w:rStyle w:val="FootnoteReference"/>
          <w:rFonts w:eastAsia="Segoe UI" w:cs="Arial"/>
        </w:rPr>
        <w:footnoteReference w:id="4"/>
      </w:r>
      <w:r>
        <w:rPr>
          <w:rFonts w:eastAsia="Segoe UI" w:cs="Arial"/>
        </w:rPr>
        <w:t xml:space="preserve"> rashly swears to do something—whether it is to do good or to do evil, no matter what it may be—and he was unaware of it, but then he realizes that he has sworn rashly, he becomes guilty.</w:t>
      </w:r>
      <w:r w:rsidR="00384D86">
        <w:rPr>
          <w:rStyle w:val="FootnoteReference"/>
          <w:rFonts w:eastAsia="Segoe UI" w:cs="Arial"/>
        </w:rPr>
        <w:footnoteReference w:id="5"/>
      </w:r>
      <w:r w:rsidR="00384D86">
        <w:rPr>
          <w:rStyle w:val="EndnoteReference"/>
          <w:rFonts w:eastAsia="Segoe UI" w:cs="Arial"/>
        </w:rPr>
        <w:endnoteReference w:id="4"/>
      </w:r>
    </w:p>
    <w:p w:rsidR="00440B53" w:rsidRDefault="00440B53" w:rsidP="00440B53">
      <w:pPr>
        <w:rPr>
          <w:rFonts w:eastAsia="Segoe UI" w:cs="Arial"/>
        </w:rPr>
      </w:pPr>
      <w:r>
        <w:rPr>
          <w:rFonts w:eastAsia="Segoe UI" w:cs="Arial"/>
          <w:b/>
        </w:rPr>
        <w:t xml:space="preserve">5 </w:t>
      </w:r>
      <w:r>
        <w:rPr>
          <w:rFonts w:eastAsia="Segoe UI" w:cs="Arial"/>
        </w:rPr>
        <w:t>“‘If he becomes guilty as respects one of these things, then he must confess</w:t>
      </w:r>
      <w:r w:rsidR="00384D86">
        <w:rPr>
          <w:rStyle w:val="EndnoteReference"/>
          <w:rFonts w:eastAsia="Segoe UI" w:cs="Arial"/>
        </w:rPr>
        <w:endnoteReference w:id="5"/>
      </w:r>
      <w:r>
        <w:rPr>
          <w:rFonts w:eastAsia="Segoe UI" w:cs="Arial"/>
        </w:rPr>
        <w:t xml:space="preserve"> in what way he has sinned. </w:t>
      </w:r>
      <w:r>
        <w:rPr>
          <w:rFonts w:eastAsia="Segoe UI" w:cs="Arial"/>
          <w:b/>
        </w:rPr>
        <w:t xml:space="preserve">6 </w:t>
      </w:r>
      <w:r>
        <w:rPr>
          <w:rFonts w:eastAsia="Segoe UI" w:cs="Arial"/>
        </w:rPr>
        <w:t>He will also bring his guilt offering to Jehovah for the sin that he committed,</w:t>
      </w:r>
      <w:r w:rsidR="00384D86">
        <w:rPr>
          <w:rStyle w:val="EndnoteReference"/>
          <w:rFonts w:eastAsia="Segoe UI" w:cs="Arial"/>
        </w:rPr>
        <w:endnoteReference w:id="6"/>
      </w:r>
      <w:r>
        <w:rPr>
          <w:rFonts w:eastAsia="Segoe UI" w:cs="Arial"/>
        </w:rPr>
        <w:t xml:space="preserve"> namely, a female from the flock, either a female lamb or a young female goat, for a sin offering. Then the priest will make atonement for him for his sin.</w:t>
      </w:r>
    </w:p>
    <w:p w:rsidR="00440B53" w:rsidRDefault="00440B53" w:rsidP="00440B53">
      <w:pPr>
        <w:rPr>
          <w:rFonts w:ascii="MEPS Bookman WTS" w:eastAsia="Segoe UI" w:hAnsi="MEPS Bookman WTS" w:cs="Segoe UI"/>
        </w:rPr>
      </w:pPr>
      <w:r>
        <w:rPr>
          <w:rFonts w:eastAsia="Segoe UI" w:cs="Arial"/>
          <w:b/>
        </w:rPr>
        <w:t xml:space="preserve">7 </w:t>
      </w:r>
      <w:r>
        <w:rPr>
          <w:rFonts w:eastAsia="Segoe UI" w:cs="Arial"/>
        </w:rPr>
        <w:t>“‘If, though, he cannot afford a sheep, he must bring to Jehovah two turtledoves or two young pigeons</w:t>
      </w:r>
      <w:r w:rsidR="00384D86">
        <w:rPr>
          <w:rStyle w:val="EndnoteReference"/>
          <w:rFonts w:eastAsia="Segoe UI" w:cs="Arial"/>
        </w:rPr>
        <w:endnoteReference w:id="7"/>
      </w:r>
      <w:r>
        <w:rPr>
          <w:rFonts w:eastAsia="Segoe UI" w:cs="Arial"/>
        </w:rPr>
        <w:t xml:space="preserve"> as his guilt offering for the sin, one for a sin offering and one for a burnt offering.</w:t>
      </w:r>
      <w:r w:rsidR="00384D86">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8 </w:t>
      </w:r>
      <w:r>
        <w:rPr>
          <w:rFonts w:eastAsia="Segoe UI" w:cs="Arial"/>
        </w:rPr>
        <w:t xml:space="preserve">He is to bring them to the priest, who will present first the one for the sin offering and nip off its head at the front of its neck, without severing it. </w:t>
      </w:r>
      <w:r>
        <w:rPr>
          <w:rFonts w:eastAsia="Segoe UI" w:cs="Arial"/>
          <w:b/>
        </w:rPr>
        <w:t xml:space="preserve">9 </w:t>
      </w:r>
      <w:r>
        <w:rPr>
          <w:rFonts w:eastAsia="Segoe UI" w:cs="Arial"/>
        </w:rPr>
        <w:t>He will spatter some of the blood of the sin offering on the side of the altar, but the remainder of the blood will be drained out at the base of the altar.</w:t>
      </w:r>
      <w:r w:rsidR="00384D86">
        <w:rPr>
          <w:rStyle w:val="EndnoteReference"/>
          <w:rFonts w:eastAsia="Segoe UI" w:cs="Arial"/>
        </w:rPr>
        <w:endnoteReference w:id="9"/>
      </w:r>
      <w:r>
        <w:rPr>
          <w:rFonts w:eastAsia="Segoe UI" w:cs="Arial"/>
        </w:rPr>
        <w:t xml:space="preserve"> It is a sin offering. </w:t>
      </w:r>
      <w:r>
        <w:rPr>
          <w:rFonts w:eastAsia="Segoe UI" w:cs="Arial"/>
          <w:b/>
        </w:rPr>
        <w:t xml:space="preserve">10 </w:t>
      </w:r>
      <w:r>
        <w:rPr>
          <w:rFonts w:eastAsia="Segoe UI" w:cs="Arial"/>
        </w:rPr>
        <w:t>He will handle the other one as a burnt offering according to the regular procedure;</w:t>
      </w:r>
      <w:r w:rsidR="00384D86">
        <w:rPr>
          <w:rStyle w:val="EndnoteReference"/>
          <w:rFonts w:eastAsia="Segoe UI" w:cs="Arial"/>
        </w:rPr>
        <w:endnoteReference w:id="10"/>
      </w:r>
      <w:r>
        <w:rPr>
          <w:rFonts w:eastAsia="Segoe UI" w:cs="Arial"/>
        </w:rPr>
        <w:t xml:space="preserve"> and the priest will make atonement for him for the sin that he has committed, and it will be forgiven him.</w:t>
      </w:r>
      <w:r w:rsidR="00384D86">
        <w:rPr>
          <w:rStyle w:val="EndnoteReference"/>
          <w:rFonts w:eastAsia="Segoe UI" w:cs="Arial"/>
        </w:rPr>
        <w:endnoteReference w:id="11"/>
      </w:r>
    </w:p>
    <w:p w:rsidR="00440B53" w:rsidRDefault="00440B53" w:rsidP="00440B53">
      <w:pPr>
        <w:rPr>
          <w:rFonts w:ascii="MEPS Bookman WTS" w:eastAsia="Segoe UI" w:hAnsi="MEPS Bookman WTS" w:cs="Segoe UI"/>
        </w:rPr>
      </w:pPr>
      <w:r>
        <w:rPr>
          <w:rFonts w:eastAsia="Segoe UI" w:cs="Arial"/>
          <w:b/>
        </w:rPr>
        <w:t xml:space="preserve">11 </w:t>
      </w:r>
      <w:r>
        <w:rPr>
          <w:rFonts w:eastAsia="Segoe UI" w:cs="Arial"/>
        </w:rPr>
        <w:t>“‘Now if he cannot afford two turtledoves or two young pigeons, he must bring as his offering for his sin a tenth of an e′phah</w:t>
      </w:r>
      <w:r w:rsidR="00384D86">
        <w:rPr>
          <w:rStyle w:val="FootnoteReference"/>
          <w:rFonts w:eastAsia="Segoe UI" w:cs="Arial"/>
        </w:rPr>
        <w:footnoteReference w:id="6"/>
      </w:r>
      <w:r w:rsidR="00384D86">
        <w:rPr>
          <w:rStyle w:val="EndnoteReference"/>
          <w:rFonts w:eastAsia="Segoe UI" w:cs="Arial"/>
        </w:rPr>
        <w:endnoteReference w:id="12"/>
      </w:r>
      <w:r>
        <w:rPr>
          <w:rFonts w:eastAsia="Segoe UI" w:cs="Arial"/>
        </w:rPr>
        <w:t xml:space="preserve"> of fine flour for a sin offering. He should not add oil to it or place frankincense on it, for it is a sin offering. </w:t>
      </w:r>
      <w:r>
        <w:rPr>
          <w:rFonts w:eastAsia="Segoe UI" w:cs="Arial"/>
          <w:b/>
        </w:rPr>
        <w:t xml:space="preserve">12 </w:t>
      </w:r>
      <w:r>
        <w:rPr>
          <w:rFonts w:eastAsia="Segoe UI" w:cs="Arial"/>
        </w:rPr>
        <w:t>He will bring it to the priest, and the priest will take from it his handful as a token offering</w:t>
      </w:r>
      <w:r w:rsidR="00384D86">
        <w:rPr>
          <w:rStyle w:val="FootnoteReference"/>
          <w:rFonts w:eastAsia="Segoe UI" w:cs="Arial"/>
        </w:rPr>
        <w:footnoteReference w:id="7"/>
      </w:r>
      <w:r>
        <w:rPr>
          <w:rFonts w:eastAsia="Segoe UI" w:cs="Arial"/>
        </w:rPr>
        <w:t xml:space="preserve"> and make it smoke on the altar on top of Jehovah’s offerings made by fire. It is a sin offering. </w:t>
      </w:r>
      <w:r>
        <w:rPr>
          <w:rFonts w:eastAsia="Segoe UI" w:cs="Arial"/>
          <w:b/>
        </w:rPr>
        <w:t xml:space="preserve">13 </w:t>
      </w:r>
      <w:r>
        <w:rPr>
          <w:rFonts w:eastAsia="Segoe UI" w:cs="Arial"/>
        </w:rPr>
        <w:t>The priest will make atonement for him for the sin that he has committed, any one of these sins, and it will be forgiven him.</w:t>
      </w:r>
      <w:r w:rsidR="00384D86">
        <w:rPr>
          <w:rStyle w:val="EndnoteReference"/>
          <w:rFonts w:eastAsia="Segoe UI" w:cs="Arial"/>
        </w:rPr>
        <w:endnoteReference w:id="13"/>
      </w:r>
      <w:r>
        <w:rPr>
          <w:rFonts w:eastAsia="Segoe UI" w:cs="Arial"/>
        </w:rPr>
        <w:t xml:space="preserve"> The remainder of the offering will become the priest’s,</w:t>
      </w:r>
      <w:r w:rsidR="00384D86">
        <w:rPr>
          <w:rStyle w:val="EndnoteReference"/>
          <w:rFonts w:eastAsia="Segoe UI" w:cs="Arial"/>
        </w:rPr>
        <w:endnoteReference w:id="14"/>
      </w:r>
      <w:r>
        <w:rPr>
          <w:rFonts w:eastAsia="Segoe UI" w:cs="Arial"/>
        </w:rPr>
        <w:t xml:space="preserve"> just like the grain offering.’”</w:t>
      </w:r>
      <w:r w:rsidR="00384D86">
        <w:rPr>
          <w:rStyle w:val="EndnoteReference"/>
          <w:rFonts w:eastAsia="Segoe UI" w:cs="Arial"/>
        </w:rPr>
        <w:endnoteReference w:id="15"/>
      </w:r>
    </w:p>
    <w:p w:rsidR="00440B53" w:rsidRDefault="00440B53" w:rsidP="00440B53">
      <w:pPr>
        <w:rPr>
          <w:rFonts w:ascii="MEPS Bookman WTS" w:eastAsia="Segoe UI" w:hAnsi="MEPS Bookman WTS" w:cs="Segoe UI"/>
        </w:rPr>
      </w:pPr>
      <w:r>
        <w:rPr>
          <w:rFonts w:eastAsia="Segoe UI" w:cs="Arial"/>
          <w:b/>
        </w:rPr>
        <w:t xml:space="preserve">14 </w:t>
      </w:r>
      <w:r>
        <w:rPr>
          <w:rFonts w:eastAsia="Segoe UI" w:cs="Arial"/>
        </w:rPr>
        <w:t xml:space="preserve">Jehovah continued to speak to Moses, saying: </w:t>
      </w:r>
      <w:r>
        <w:rPr>
          <w:rFonts w:eastAsia="Segoe UI" w:cs="Arial"/>
          <w:b/>
        </w:rPr>
        <w:t xml:space="preserve">15 </w:t>
      </w:r>
      <w:r>
        <w:rPr>
          <w:rFonts w:eastAsia="Segoe UI" w:cs="Arial"/>
        </w:rPr>
        <w:t>“If someone</w:t>
      </w:r>
      <w:r w:rsidR="00384D86">
        <w:rPr>
          <w:rStyle w:val="FootnoteReference"/>
          <w:rFonts w:eastAsia="Segoe UI" w:cs="Arial"/>
        </w:rPr>
        <w:footnoteReference w:id="8"/>
      </w:r>
      <w:r>
        <w:rPr>
          <w:rFonts w:eastAsia="Segoe UI" w:cs="Arial"/>
        </w:rPr>
        <w:t xml:space="preserve"> behaves unfaithfully by unintentionally sinning against the holy things of Jehovah,</w:t>
      </w:r>
      <w:r w:rsidR="00384D86">
        <w:rPr>
          <w:rStyle w:val="EndnoteReference"/>
          <w:rFonts w:eastAsia="Segoe UI" w:cs="Arial"/>
        </w:rPr>
        <w:endnoteReference w:id="16"/>
      </w:r>
      <w:r>
        <w:rPr>
          <w:rFonts w:eastAsia="Segoe UI" w:cs="Arial"/>
        </w:rPr>
        <w:t xml:space="preserve"> he is to bring to Jehovah a sound ram from the flock as a guilt offering;</w:t>
      </w:r>
      <w:r w:rsidR="00384D86">
        <w:rPr>
          <w:rStyle w:val="EndnoteReference"/>
          <w:rFonts w:eastAsia="Segoe UI" w:cs="Arial"/>
        </w:rPr>
        <w:endnoteReference w:id="17"/>
      </w:r>
      <w:r>
        <w:rPr>
          <w:rFonts w:eastAsia="Segoe UI" w:cs="Arial"/>
        </w:rPr>
        <w:t xml:space="preserve"> its value in silver shekels</w:t>
      </w:r>
      <w:r w:rsidR="00384D86">
        <w:rPr>
          <w:rStyle w:val="FootnoteReference"/>
          <w:rFonts w:eastAsia="Segoe UI" w:cs="Arial"/>
        </w:rPr>
        <w:footnoteReference w:id="9"/>
      </w:r>
      <w:r>
        <w:rPr>
          <w:rFonts w:eastAsia="Segoe UI" w:cs="Arial"/>
        </w:rPr>
        <w:t xml:space="preserve"> is set according to the standard shekel of the holy place.</w:t>
      </w:r>
      <w:r w:rsidR="00384D86">
        <w:rPr>
          <w:rStyle w:val="FootnoteReference"/>
          <w:rFonts w:eastAsia="Segoe UI" w:cs="Arial"/>
        </w:rPr>
        <w:footnoteReference w:id="10"/>
      </w:r>
      <w:r w:rsidR="00384D86">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16 </w:t>
      </w:r>
      <w:r>
        <w:rPr>
          <w:rFonts w:eastAsia="Segoe UI" w:cs="Arial"/>
        </w:rPr>
        <w:t>And he will make compensation for the sin he has committed against the holy place and he will also add a fifth of its value.</w:t>
      </w:r>
      <w:r w:rsidR="00384D86">
        <w:rPr>
          <w:rStyle w:val="EndnoteReference"/>
          <w:rFonts w:eastAsia="Segoe UI" w:cs="Arial"/>
        </w:rPr>
        <w:endnoteReference w:id="19"/>
      </w:r>
      <w:r>
        <w:rPr>
          <w:rFonts w:eastAsia="Segoe UI" w:cs="Arial"/>
        </w:rPr>
        <w:t xml:space="preserve"> He will give it to the priest, so that the priest may make atonement</w:t>
      </w:r>
      <w:r w:rsidR="00384D86">
        <w:rPr>
          <w:rStyle w:val="EndnoteReference"/>
          <w:rFonts w:eastAsia="Segoe UI" w:cs="Arial"/>
        </w:rPr>
        <w:endnoteReference w:id="20"/>
      </w:r>
      <w:r>
        <w:rPr>
          <w:rFonts w:eastAsia="Segoe UI" w:cs="Arial"/>
        </w:rPr>
        <w:t xml:space="preserve"> for him with the ram of the guilt offering, and it will be forgiven him.</w:t>
      </w:r>
      <w:r w:rsidR="00384D86">
        <w:rPr>
          <w:rStyle w:val="EndnoteReference"/>
          <w:rFonts w:eastAsia="Segoe UI" w:cs="Arial"/>
        </w:rPr>
        <w:endnoteReference w:id="21"/>
      </w:r>
    </w:p>
    <w:p w:rsidR="00440B53" w:rsidRDefault="00440B53" w:rsidP="00440B53">
      <w:pPr>
        <w:rPr>
          <w:rFonts w:eastAsia="Segoe UI" w:cs="Arial"/>
        </w:rPr>
      </w:pPr>
      <w:r>
        <w:rPr>
          <w:rFonts w:eastAsia="Segoe UI" w:cs="Arial"/>
          <w:b/>
        </w:rPr>
        <w:t xml:space="preserve">17 </w:t>
      </w:r>
      <w:r>
        <w:rPr>
          <w:rFonts w:eastAsia="Segoe UI" w:cs="Arial"/>
        </w:rPr>
        <w:t>“If someone</w:t>
      </w:r>
      <w:r w:rsidR="00384D86">
        <w:rPr>
          <w:rStyle w:val="FootnoteReference"/>
          <w:rFonts w:eastAsia="Segoe UI" w:cs="Arial"/>
        </w:rPr>
        <w:footnoteReference w:id="11"/>
      </w:r>
      <w:r>
        <w:rPr>
          <w:rFonts w:eastAsia="Segoe UI" w:cs="Arial"/>
        </w:rPr>
        <w:t xml:space="preserve"> sins by doing any of the things that Jehovah commands should not be done, even if he is not aware of it, he is still guilty and will answer for his error.</w:t>
      </w:r>
      <w:r w:rsidR="00384D86">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18 </w:t>
      </w:r>
      <w:r>
        <w:rPr>
          <w:rFonts w:eastAsia="Segoe UI" w:cs="Arial"/>
        </w:rPr>
        <w:t>He should bring to the priest a sound ram from the flock according to the estimated value, for a guilt offering.</w:t>
      </w:r>
      <w:r w:rsidR="00384D86">
        <w:rPr>
          <w:rStyle w:val="EndnoteReference"/>
          <w:rFonts w:eastAsia="Segoe UI" w:cs="Arial"/>
        </w:rPr>
        <w:endnoteReference w:id="23"/>
      </w:r>
      <w:r>
        <w:rPr>
          <w:rFonts w:eastAsia="Segoe UI" w:cs="Arial"/>
        </w:rPr>
        <w:t xml:space="preserve"> Then the priest will make atonement for him for the unintentional mistake that he unknowingly committed, and it will be forgiven him. </w:t>
      </w:r>
      <w:r>
        <w:rPr>
          <w:rFonts w:eastAsia="Segoe UI" w:cs="Arial"/>
          <w:b/>
        </w:rPr>
        <w:t xml:space="preserve">19 </w:t>
      </w:r>
      <w:r>
        <w:rPr>
          <w:rFonts w:eastAsia="Segoe UI" w:cs="Arial"/>
        </w:rPr>
        <w:t>It is a guilt offering. He has certainly become guilty of sinning against Jehovah.”</w:t>
      </w:r>
    </w:p>
    <w:p w:rsidR="00762BCB" w:rsidRPr="00440B53" w:rsidRDefault="00762BCB" w:rsidP="00440B53"/>
    <w:sectPr w:rsidR="00762BCB" w:rsidRPr="00440B5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0875" w:rsidRDefault="00130875">
      <w:r>
        <w:separator/>
      </w:r>
    </w:p>
  </w:endnote>
  <w:endnote w:type="continuationSeparator" w:id="0">
    <w:p w:rsidR="00130875" w:rsidRDefault="00130875">
      <w:r>
        <w:continuationSeparator/>
      </w:r>
    </w:p>
  </w:endnote>
  <w:endnote w:id="1">
    <w:p w:rsidR="00384D86" w:rsidRDefault="00384D86">
      <w:pPr>
        <w:pStyle w:val="EndnoteText"/>
      </w:pPr>
      <w:r>
        <w:rPr>
          <w:rStyle w:val="EndnoteReference"/>
        </w:rPr>
        <w:endnoteRef/>
      </w:r>
      <w:r>
        <w:t xml:space="preserve"> Proverbs 29:24</w:t>
      </w:r>
    </w:p>
  </w:endnote>
  <w:endnote w:id="2">
    <w:p w:rsidR="00384D86" w:rsidRDefault="00384D86">
      <w:pPr>
        <w:pStyle w:val="EndnoteText"/>
      </w:pPr>
      <w:r>
        <w:rPr>
          <w:rStyle w:val="EndnoteReference"/>
        </w:rPr>
        <w:endnoteRef/>
      </w:r>
      <w:r>
        <w:t xml:space="preserve"> Leviticus 11:21-24; 17:15; Deuteronomy 14:8</w:t>
      </w:r>
    </w:p>
  </w:endnote>
  <w:endnote w:id="3">
    <w:p w:rsidR="00384D86" w:rsidRDefault="00384D86">
      <w:pPr>
        <w:pStyle w:val="EndnoteText"/>
      </w:pPr>
      <w:r>
        <w:rPr>
          <w:rStyle w:val="EndnoteReference"/>
        </w:rPr>
        <w:endnoteRef/>
      </w:r>
      <w:r>
        <w:t xml:space="preserve"> Leviticus 12:2; 13:3; 15:3; Numbers 19:11</w:t>
      </w:r>
    </w:p>
  </w:endnote>
  <w:endnote w:id="4">
    <w:p w:rsidR="00384D86" w:rsidRDefault="00384D86">
      <w:pPr>
        <w:pStyle w:val="EndnoteText"/>
      </w:pPr>
      <w:r>
        <w:rPr>
          <w:rStyle w:val="EndnoteReference"/>
        </w:rPr>
        <w:endnoteRef/>
      </w:r>
      <w:r>
        <w:t xml:space="preserve"> Matthew 5:33</w:t>
      </w:r>
    </w:p>
  </w:endnote>
  <w:endnote w:id="5">
    <w:p w:rsidR="00384D86" w:rsidRDefault="00384D86">
      <w:pPr>
        <w:pStyle w:val="EndnoteText"/>
      </w:pPr>
      <w:r>
        <w:rPr>
          <w:rStyle w:val="EndnoteReference"/>
        </w:rPr>
        <w:endnoteRef/>
      </w:r>
      <w:r>
        <w:t xml:space="preserve"> Numbers 5:7; Psalms 32:5; Proverbs 28:13; 1 John 1:9</w:t>
      </w:r>
    </w:p>
  </w:endnote>
  <w:endnote w:id="6">
    <w:p w:rsidR="00384D86" w:rsidRDefault="00384D86">
      <w:pPr>
        <w:pStyle w:val="EndnoteText"/>
      </w:pPr>
      <w:r>
        <w:rPr>
          <w:rStyle w:val="EndnoteReference"/>
        </w:rPr>
        <w:endnoteRef/>
      </w:r>
      <w:r>
        <w:t xml:space="preserve"> Leviticus 7:1; 14:2, 12; 19:20, 21; Numbers 6:12</w:t>
      </w:r>
    </w:p>
  </w:endnote>
  <w:endnote w:id="7">
    <w:p w:rsidR="00384D86" w:rsidRDefault="00384D86">
      <w:pPr>
        <w:pStyle w:val="EndnoteText"/>
      </w:pPr>
      <w:r>
        <w:rPr>
          <w:rStyle w:val="EndnoteReference"/>
        </w:rPr>
        <w:endnoteRef/>
      </w:r>
      <w:r>
        <w:t xml:space="preserve"> Luke 2:24</w:t>
      </w:r>
    </w:p>
  </w:endnote>
  <w:endnote w:id="8">
    <w:p w:rsidR="00384D86" w:rsidRDefault="00384D86">
      <w:pPr>
        <w:pStyle w:val="EndnoteText"/>
      </w:pPr>
      <w:r>
        <w:rPr>
          <w:rStyle w:val="EndnoteReference"/>
        </w:rPr>
        <w:endnoteRef/>
      </w:r>
      <w:r>
        <w:t xml:space="preserve"> Leviticus 12:7, 8; 14:21, 22; 15:13-15</w:t>
      </w:r>
    </w:p>
  </w:endnote>
  <w:endnote w:id="9">
    <w:p w:rsidR="00384D86" w:rsidRDefault="00384D86">
      <w:pPr>
        <w:pStyle w:val="EndnoteText"/>
      </w:pPr>
      <w:r>
        <w:rPr>
          <w:rStyle w:val="EndnoteReference"/>
        </w:rPr>
        <w:endnoteRef/>
      </w:r>
      <w:r>
        <w:t xml:space="preserve"> Leviticus 1:4, 5; 7:2; Hebrews 9:22</w:t>
      </w:r>
    </w:p>
  </w:endnote>
  <w:endnote w:id="10">
    <w:p w:rsidR="00384D86" w:rsidRDefault="00384D86">
      <w:pPr>
        <w:pStyle w:val="EndnoteText"/>
      </w:pPr>
      <w:r>
        <w:rPr>
          <w:rStyle w:val="EndnoteReference"/>
        </w:rPr>
        <w:endnoteRef/>
      </w:r>
      <w:r>
        <w:t xml:space="preserve"> Leviticus 1:15-17</w:t>
      </w:r>
    </w:p>
  </w:endnote>
  <w:endnote w:id="11">
    <w:p w:rsidR="00384D86" w:rsidRDefault="00384D86">
      <w:pPr>
        <w:pStyle w:val="EndnoteText"/>
      </w:pPr>
      <w:r>
        <w:rPr>
          <w:rStyle w:val="EndnoteReference"/>
        </w:rPr>
        <w:endnoteRef/>
      </w:r>
      <w:r>
        <w:t xml:space="preserve"> Leviticus 6:7</w:t>
      </w:r>
    </w:p>
  </w:endnote>
  <w:endnote w:id="12">
    <w:p w:rsidR="00384D86" w:rsidRDefault="00384D86">
      <w:pPr>
        <w:pStyle w:val="EndnoteText"/>
      </w:pPr>
      <w:r>
        <w:rPr>
          <w:rStyle w:val="EndnoteReference"/>
        </w:rPr>
        <w:endnoteRef/>
      </w:r>
      <w:r>
        <w:t xml:space="preserve"> Exodus 16:36</w:t>
      </w:r>
    </w:p>
  </w:endnote>
  <w:endnote w:id="13">
    <w:p w:rsidR="00384D86" w:rsidRDefault="00384D86">
      <w:pPr>
        <w:pStyle w:val="EndnoteText"/>
      </w:pPr>
      <w:r>
        <w:rPr>
          <w:rStyle w:val="EndnoteReference"/>
        </w:rPr>
        <w:endnoteRef/>
      </w:r>
      <w:r>
        <w:t xml:space="preserve"> Leviticus 4:26</w:t>
      </w:r>
    </w:p>
  </w:endnote>
  <w:endnote w:id="14">
    <w:p w:rsidR="00384D86" w:rsidRDefault="00384D86">
      <w:pPr>
        <w:pStyle w:val="EndnoteText"/>
      </w:pPr>
      <w:r>
        <w:rPr>
          <w:rStyle w:val="EndnoteReference"/>
        </w:rPr>
        <w:endnoteRef/>
      </w:r>
      <w:r>
        <w:t xml:space="preserve"> Leviticus 2:10; 7:1, 6</w:t>
      </w:r>
    </w:p>
  </w:endnote>
  <w:endnote w:id="15">
    <w:p w:rsidR="00384D86" w:rsidRDefault="00384D86">
      <w:pPr>
        <w:pStyle w:val="EndnoteText"/>
      </w:pPr>
      <w:r>
        <w:rPr>
          <w:rStyle w:val="EndnoteReference"/>
        </w:rPr>
        <w:endnoteRef/>
      </w:r>
      <w:r>
        <w:t xml:space="preserve"> Leviticus 6:14-16; 1 Corinthians 9:13</w:t>
      </w:r>
    </w:p>
  </w:endnote>
  <w:endnote w:id="16">
    <w:p w:rsidR="00384D86" w:rsidRDefault="00384D86">
      <w:pPr>
        <w:pStyle w:val="EndnoteText"/>
      </w:pPr>
      <w:r>
        <w:rPr>
          <w:rStyle w:val="EndnoteReference"/>
        </w:rPr>
        <w:endnoteRef/>
      </w:r>
      <w:r>
        <w:t xml:space="preserve"> Leviticus 10:17, 18</w:t>
      </w:r>
    </w:p>
  </w:endnote>
  <w:endnote w:id="17">
    <w:p w:rsidR="00384D86" w:rsidRDefault="00384D86">
      <w:pPr>
        <w:pStyle w:val="EndnoteText"/>
      </w:pPr>
      <w:r>
        <w:rPr>
          <w:rStyle w:val="EndnoteReference"/>
        </w:rPr>
        <w:endnoteRef/>
      </w:r>
      <w:r>
        <w:t xml:space="preserve"> Leviticus 6:6</w:t>
      </w:r>
    </w:p>
  </w:endnote>
  <w:endnote w:id="18">
    <w:p w:rsidR="00384D86" w:rsidRDefault="00384D86">
      <w:pPr>
        <w:pStyle w:val="EndnoteText"/>
      </w:pPr>
      <w:r>
        <w:rPr>
          <w:rStyle w:val="EndnoteReference"/>
        </w:rPr>
        <w:endnoteRef/>
      </w:r>
      <w:r>
        <w:t xml:space="preserve"> Exodus 30:13; Leviticus 27:25</w:t>
      </w:r>
    </w:p>
  </w:endnote>
  <w:endnote w:id="19">
    <w:p w:rsidR="00384D86" w:rsidRDefault="00384D86">
      <w:pPr>
        <w:pStyle w:val="EndnoteText"/>
      </w:pPr>
      <w:r>
        <w:rPr>
          <w:rStyle w:val="EndnoteReference"/>
        </w:rPr>
        <w:endnoteRef/>
      </w:r>
      <w:r>
        <w:t xml:space="preserve"> Leviticus 6:4, 5; 22:14; Numbers 5:6, 7</w:t>
      </w:r>
    </w:p>
  </w:endnote>
  <w:endnote w:id="20">
    <w:p w:rsidR="00384D86" w:rsidRDefault="00384D86">
      <w:pPr>
        <w:pStyle w:val="EndnoteText"/>
      </w:pPr>
      <w:r>
        <w:rPr>
          <w:rStyle w:val="EndnoteReference"/>
        </w:rPr>
        <w:endnoteRef/>
      </w:r>
      <w:r>
        <w:t xml:space="preserve"> Exodus 32:30</w:t>
      </w:r>
    </w:p>
  </w:endnote>
  <w:endnote w:id="21">
    <w:p w:rsidR="00384D86" w:rsidRDefault="00384D86">
      <w:pPr>
        <w:pStyle w:val="EndnoteText"/>
      </w:pPr>
      <w:r>
        <w:rPr>
          <w:rStyle w:val="EndnoteReference"/>
        </w:rPr>
        <w:endnoteRef/>
      </w:r>
      <w:r>
        <w:t xml:space="preserve"> Leviticus 6:7; 19:22</w:t>
      </w:r>
    </w:p>
  </w:endnote>
  <w:endnote w:id="22">
    <w:p w:rsidR="00384D86" w:rsidRDefault="00384D86">
      <w:pPr>
        <w:pStyle w:val="EndnoteText"/>
      </w:pPr>
      <w:r>
        <w:rPr>
          <w:rStyle w:val="EndnoteReference"/>
        </w:rPr>
        <w:endnoteRef/>
      </w:r>
      <w:r>
        <w:t xml:space="preserve"> Leviticus 5:2</w:t>
      </w:r>
    </w:p>
  </w:endnote>
  <w:endnote w:id="23">
    <w:p w:rsidR="00384D86" w:rsidRDefault="00384D86">
      <w:pPr>
        <w:pStyle w:val="EndnoteText"/>
      </w:pPr>
      <w:r>
        <w:rPr>
          <w:rStyle w:val="EndnoteReference"/>
        </w:rPr>
        <w:endnoteRef/>
      </w:r>
      <w:r>
        <w:t xml:space="preserve"> Leviticus 6:6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0875" w:rsidRDefault="00130875">
      <w:r>
        <w:separator/>
      </w:r>
    </w:p>
  </w:footnote>
  <w:footnote w:type="continuationSeparator" w:id="0">
    <w:p w:rsidR="00130875" w:rsidRDefault="00130875">
      <w:r>
        <w:continuationSeparator/>
      </w:r>
    </w:p>
  </w:footnote>
  <w:footnote w:id="1">
    <w:p w:rsidR="00384D86" w:rsidRDefault="00384D86">
      <w:pPr>
        <w:pStyle w:val="FootnoteText"/>
      </w:pPr>
      <w:r>
        <w:rPr>
          <w:rStyle w:val="FootnoteReference"/>
        </w:rPr>
        <w:footnoteRef/>
      </w:r>
      <w:r>
        <w:t xml:space="preserve"> </w:t>
      </w:r>
      <w:r>
        <w:t>Or “a soul.”</w:t>
      </w:r>
    </w:p>
  </w:footnote>
  <w:footnote w:id="2">
    <w:p w:rsidR="00384D86" w:rsidRDefault="00384D86">
      <w:pPr>
        <w:pStyle w:val="FootnoteText"/>
      </w:pPr>
      <w:r>
        <w:rPr>
          <w:rStyle w:val="FootnoteReference"/>
        </w:rPr>
        <w:footnoteRef/>
      </w:r>
      <w:r>
        <w:t xml:space="preserve"> </w:t>
      </w:r>
      <w:r>
        <w:t>Lit., “a voice of a curse (oath).” Probably an announcement regarding a wrongdoing that included a curse pronounced against the wrongdoer or against the witness in case he failed to testify.</w:t>
      </w:r>
    </w:p>
  </w:footnote>
  <w:footnote w:id="3">
    <w:p w:rsidR="00384D86" w:rsidRDefault="00384D86">
      <w:pPr>
        <w:pStyle w:val="FootnoteText"/>
      </w:pPr>
      <w:r>
        <w:rPr>
          <w:rStyle w:val="FootnoteReference"/>
        </w:rPr>
        <w:footnoteRef/>
      </w:r>
      <w:r>
        <w:t xml:space="preserve"> </w:t>
      </w:r>
      <w:r>
        <w:t>Or “soul.”</w:t>
      </w:r>
    </w:p>
  </w:footnote>
  <w:footnote w:id="4">
    <w:p w:rsidR="00384D86" w:rsidRDefault="00384D86">
      <w:pPr>
        <w:pStyle w:val="FootnoteText"/>
      </w:pPr>
      <w:r>
        <w:rPr>
          <w:rStyle w:val="FootnoteReference"/>
        </w:rPr>
        <w:footnoteRef/>
      </w:r>
      <w:r>
        <w:t xml:space="preserve"> </w:t>
      </w:r>
      <w:r>
        <w:t>Or “a soul.”</w:t>
      </w:r>
    </w:p>
  </w:footnote>
  <w:footnote w:id="5">
    <w:p w:rsidR="00384D86" w:rsidRDefault="00384D86">
      <w:pPr>
        <w:pStyle w:val="FootnoteText"/>
      </w:pPr>
      <w:r>
        <w:rPr>
          <w:rStyle w:val="FootnoteReference"/>
        </w:rPr>
        <w:footnoteRef/>
      </w:r>
      <w:r>
        <w:t xml:space="preserve"> </w:t>
      </w:r>
      <w:r>
        <w:t>The implication seems to be that he does not fulfill his vow.</w:t>
      </w:r>
    </w:p>
  </w:footnote>
  <w:footnote w:id="6">
    <w:p w:rsidR="00384D86" w:rsidRDefault="00384D86">
      <w:pPr>
        <w:pStyle w:val="FootnoteText"/>
      </w:pPr>
      <w:r>
        <w:rPr>
          <w:rStyle w:val="FootnoteReference"/>
        </w:rPr>
        <w:footnoteRef/>
      </w:r>
      <w:r>
        <w:t xml:space="preserve"> </w:t>
      </w:r>
      <w:r>
        <w:t>A tenth of an ephah equaled 2.2 L (2 dry qt). See App. B14.</w:t>
      </w:r>
    </w:p>
  </w:footnote>
  <w:footnote w:id="7">
    <w:p w:rsidR="00384D86" w:rsidRDefault="00384D86">
      <w:pPr>
        <w:pStyle w:val="FootnoteText"/>
      </w:pPr>
      <w:r>
        <w:rPr>
          <w:rStyle w:val="FootnoteReference"/>
        </w:rPr>
        <w:footnoteRef/>
      </w:r>
      <w:r>
        <w:t xml:space="preserve"> </w:t>
      </w:r>
      <w:r>
        <w:t>Or “as a memorial (representative) portion of it.”</w:t>
      </w:r>
    </w:p>
  </w:footnote>
  <w:footnote w:id="8">
    <w:p w:rsidR="00384D86" w:rsidRDefault="00384D86">
      <w:pPr>
        <w:pStyle w:val="FootnoteText"/>
      </w:pPr>
      <w:r>
        <w:rPr>
          <w:rStyle w:val="FootnoteReference"/>
        </w:rPr>
        <w:footnoteRef/>
      </w:r>
      <w:r>
        <w:t xml:space="preserve"> </w:t>
      </w:r>
      <w:r>
        <w:t>Or “a soul.”</w:t>
      </w:r>
    </w:p>
  </w:footnote>
  <w:footnote w:id="9">
    <w:p w:rsidR="00384D86" w:rsidRDefault="00384D86">
      <w:pPr>
        <w:pStyle w:val="FootnoteText"/>
      </w:pPr>
      <w:r>
        <w:rPr>
          <w:rStyle w:val="FootnoteReference"/>
        </w:rPr>
        <w:footnoteRef/>
      </w:r>
      <w:r>
        <w:t xml:space="preserve"> </w:t>
      </w:r>
      <w:r>
        <w:t>A shekel equaled 11.4 g (0.367 oz t). See App. B14.</w:t>
      </w:r>
    </w:p>
  </w:footnote>
  <w:footnote w:id="10">
    <w:p w:rsidR="00384D86" w:rsidRDefault="00384D86">
      <w:pPr>
        <w:pStyle w:val="FootnoteText"/>
      </w:pPr>
      <w:r>
        <w:rPr>
          <w:rStyle w:val="FootnoteReference"/>
        </w:rPr>
        <w:footnoteRef/>
      </w:r>
      <w:r>
        <w:t xml:space="preserve"> </w:t>
      </w:r>
      <w:r>
        <w:t>Or “by the holy shekel.”</w:t>
      </w:r>
    </w:p>
  </w:footnote>
  <w:footnote w:id="11">
    <w:p w:rsidR="00384D86" w:rsidRDefault="00384D86">
      <w:pPr>
        <w:pStyle w:val="FootnoteText"/>
      </w:pPr>
      <w:r>
        <w:rPr>
          <w:rStyle w:val="FootnoteReference"/>
        </w:rPr>
        <w:footnoteRef/>
      </w:r>
      <w:r>
        <w:t xml:space="preserve"> </w:t>
      </w:r>
      <w:r>
        <w:t>Or “a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84D86">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84D86">
        <w:t>Leviticus Chapter 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84D86">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84D86">
      <w:rPr>
        <w:noProof/>
        <w:snapToGrid w:val="0"/>
      </w:rPr>
      <w:t>Leviticus 05.Advisor.docx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84D86">
        <w:t>Leviticus Chapter 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84D86">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84D86">
      <w:rPr>
        <w:noProof/>
        <w:snapToGrid w:val="0"/>
      </w:rPr>
      <w:t>Leviticus 05.Advisor.docx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84D86">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84D86">
      <w:t>&lt;not set&gt;</w:t>
    </w:r>
    <w:r>
      <w:fldChar w:fldCharType="end"/>
    </w:r>
    <w:r>
      <w:tab/>
      <w:t xml:space="preserve">Checker: </w:t>
    </w:r>
    <w:r>
      <w:fldChar w:fldCharType="begin"/>
    </w:r>
    <w:r>
      <w:instrText xml:space="preserve"> DOCPROPERTY "_RoleChecker" </w:instrText>
    </w:r>
    <w:r>
      <w:fldChar w:fldCharType="separate"/>
    </w:r>
    <w:r w:rsidR="00384D86">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84D8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875"/>
    <w:rsid w:val="00130875"/>
    <w:rsid w:val="00245EDD"/>
    <w:rsid w:val="0026230D"/>
    <w:rsid w:val="002B524D"/>
    <w:rsid w:val="002C00A8"/>
    <w:rsid w:val="00310508"/>
    <w:rsid w:val="00384D86"/>
    <w:rsid w:val="003B380B"/>
    <w:rsid w:val="00440B53"/>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b11ab1cc2dd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84D86"/>
    <w:pPr>
      <w:spacing w:line="240" w:lineRule="auto"/>
    </w:pPr>
    <w:rPr>
      <w:sz w:val="20"/>
      <w:szCs w:val="20"/>
    </w:rPr>
  </w:style>
  <w:style w:type="character" w:customStyle="1" w:styleId="FootnoteTextChar">
    <w:name w:val="Footnote Text Char"/>
    <w:basedOn w:val="DefaultParagraphFont"/>
    <w:link w:val="FootnoteText"/>
    <w:rsid w:val="00384D86"/>
    <w:rPr>
      <w:rFonts w:ascii="Arial" w:eastAsia="Times New Roman" w:hAnsi="Arial" w:cs="Latha"/>
      <w:lang w:val="en-US" w:eastAsia="en-US" w:bidi="ta-IN"/>
    </w:rPr>
  </w:style>
  <w:style w:type="character" w:styleId="FootnoteReference">
    <w:name w:val="footnote reference"/>
    <w:basedOn w:val="DefaultParagraphFont"/>
    <w:rsid w:val="00384D86"/>
    <w:rPr>
      <w:vertAlign w:val="superscript"/>
    </w:rPr>
  </w:style>
  <w:style w:type="paragraph" w:styleId="EndnoteText">
    <w:name w:val="endnote text"/>
    <w:basedOn w:val="Normal"/>
    <w:link w:val="EndnoteTextChar"/>
    <w:rsid w:val="00384D86"/>
    <w:pPr>
      <w:spacing w:line="240" w:lineRule="auto"/>
    </w:pPr>
    <w:rPr>
      <w:sz w:val="20"/>
      <w:szCs w:val="20"/>
    </w:rPr>
  </w:style>
  <w:style w:type="character" w:customStyle="1" w:styleId="EndnoteTextChar">
    <w:name w:val="Endnote Text Char"/>
    <w:basedOn w:val="DefaultParagraphFont"/>
    <w:link w:val="EndnoteText"/>
    <w:rsid w:val="00384D86"/>
    <w:rPr>
      <w:rFonts w:ascii="Arial" w:eastAsia="Times New Roman" w:hAnsi="Arial" w:cs="Latha"/>
      <w:lang w:val="en-US" w:eastAsia="en-US" w:bidi="ta-IN"/>
    </w:rPr>
  </w:style>
  <w:style w:type="character" w:styleId="EndnoteReference">
    <w:name w:val="endnote reference"/>
    <w:basedOn w:val="DefaultParagraphFont"/>
    <w:rsid w:val="00384D8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84D86"/>
    <w:pPr>
      <w:spacing w:line="240" w:lineRule="auto"/>
    </w:pPr>
    <w:rPr>
      <w:sz w:val="20"/>
      <w:szCs w:val="20"/>
    </w:rPr>
  </w:style>
  <w:style w:type="character" w:customStyle="1" w:styleId="FootnoteTextChar">
    <w:name w:val="Footnote Text Char"/>
    <w:basedOn w:val="DefaultParagraphFont"/>
    <w:link w:val="FootnoteText"/>
    <w:rsid w:val="00384D86"/>
    <w:rPr>
      <w:rFonts w:ascii="Arial" w:eastAsia="Times New Roman" w:hAnsi="Arial" w:cs="Latha"/>
      <w:lang w:val="en-US" w:eastAsia="en-US" w:bidi="ta-IN"/>
    </w:rPr>
  </w:style>
  <w:style w:type="character" w:styleId="FootnoteReference">
    <w:name w:val="footnote reference"/>
    <w:basedOn w:val="DefaultParagraphFont"/>
    <w:rsid w:val="00384D86"/>
    <w:rPr>
      <w:vertAlign w:val="superscript"/>
    </w:rPr>
  </w:style>
  <w:style w:type="paragraph" w:styleId="EndnoteText">
    <w:name w:val="endnote text"/>
    <w:basedOn w:val="Normal"/>
    <w:link w:val="EndnoteTextChar"/>
    <w:rsid w:val="00384D86"/>
    <w:pPr>
      <w:spacing w:line="240" w:lineRule="auto"/>
    </w:pPr>
    <w:rPr>
      <w:sz w:val="20"/>
      <w:szCs w:val="20"/>
    </w:rPr>
  </w:style>
  <w:style w:type="character" w:customStyle="1" w:styleId="EndnoteTextChar">
    <w:name w:val="Endnote Text Char"/>
    <w:basedOn w:val="DefaultParagraphFont"/>
    <w:link w:val="EndnoteText"/>
    <w:rsid w:val="00384D86"/>
    <w:rPr>
      <w:rFonts w:ascii="Arial" w:eastAsia="Times New Roman" w:hAnsi="Arial" w:cs="Latha"/>
      <w:lang w:val="en-US" w:eastAsia="en-US" w:bidi="ta-IN"/>
    </w:rPr>
  </w:style>
  <w:style w:type="character" w:styleId="EndnoteReference">
    <w:name w:val="endnote reference"/>
    <w:basedOn w:val="DefaultParagraphFont"/>
    <w:rsid w:val="00384D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b11ab1cc2dd40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698</ap:Words>
  <ap:Characters>2928</ap:Characters>
  <ap:Application>Microsoft Office Word</ap:Application>
  <ap:DocSecurity>0</ap:DocSecurity>
  <ap:Lines>48</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3617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5</dc:title>
  <dc:subject/>
  <dc:creator>David Waterson</dc:creator>
  <cp:keywords/>
  <dc:description/>
  <cp:lastModifiedBy>David Waterson</cp:lastModifiedBy>
  <cp:revision>3</cp:revision>
  <dcterms:created xsi:type="dcterms:W3CDTF">2019-08-04T13:57:00Z</dcterms:created>
  <dcterms:modified xsi:type="dcterms:W3CDTF">2019-08-04T13:57:00Z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05.docx</vt:lpwstr>
  </property>
  <property fmtid="{D5CDD505-2E9C-101B-9397-08002B2CF9AE}" pid="9" name="_TranslationDocumentId">
    <vt:i4>19425</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