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6F99" w:rsidRDefault="003F6F99" w:rsidP="003F6F99">
      <w:pPr>
        <w:rPr>
          <w:rFonts w:ascii="MEPS Bookman WTS" w:eastAsia="Segoe UI" w:hAnsi="MEPS Bookman WTS" w:cs="Segoe UI"/>
        </w:rPr>
      </w:pPr>
      <w:bookmarkStart w:id="0" w:name="_GoBack"/>
      <w:bookmarkEnd w:id="0"/>
      <w:r>
        <w:rPr>
          <w:rFonts w:eastAsia="Segoe UI" w:cs="Arial"/>
          <w:b/>
        </w:rPr>
        <w:t xml:space="preserve">6:1 </w:t>
      </w:r>
      <w:r>
        <w:rPr>
          <w:rFonts w:eastAsia="Segoe UI" w:cs="Arial"/>
        </w:rPr>
        <w:t xml:space="preserve">Jehovah went on to say to Moses: </w:t>
      </w:r>
      <w:r>
        <w:rPr>
          <w:rFonts w:eastAsia="Segoe UI" w:cs="Arial"/>
          <w:b/>
        </w:rPr>
        <w:t xml:space="preserve">2 </w:t>
      </w:r>
      <w:r>
        <w:rPr>
          <w:rFonts w:eastAsia="Segoe UI" w:cs="Arial"/>
        </w:rPr>
        <w:t>“If someone</w:t>
      </w:r>
      <w:r w:rsidR="00703F61">
        <w:rPr>
          <w:rStyle w:val="FootnoteReference"/>
          <w:rFonts w:eastAsia="Segoe UI" w:cs="Arial"/>
        </w:rPr>
        <w:footnoteReference w:id="1"/>
      </w:r>
      <w:r>
        <w:rPr>
          <w:rFonts w:eastAsia="Segoe UI" w:cs="Arial"/>
        </w:rPr>
        <w:t xml:space="preserve"> sins and behaves unfaithfully toward Jehovah</w:t>
      </w:r>
      <w:r w:rsidR="00703F61">
        <w:rPr>
          <w:rStyle w:val="EndnoteReference"/>
          <w:rFonts w:eastAsia="Segoe UI" w:cs="Arial"/>
        </w:rPr>
        <w:endnoteReference w:id="1"/>
      </w:r>
      <w:r>
        <w:rPr>
          <w:rFonts w:eastAsia="Segoe UI" w:cs="Arial"/>
        </w:rPr>
        <w:t xml:space="preserve"> by deceiving his neighbor in connection with something entrusted to him,</w:t>
      </w:r>
      <w:r w:rsidR="00703F61">
        <w:rPr>
          <w:rStyle w:val="EndnoteReference"/>
          <w:rFonts w:eastAsia="Segoe UI" w:cs="Arial"/>
        </w:rPr>
        <w:endnoteReference w:id="2"/>
      </w:r>
      <w:r>
        <w:rPr>
          <w:rFonts w:eastAsia="Segoe UI" w:cs="Arial"/>
        </w:rPr>
        <w:t xml:space="preserve"> or something deposited with him, or he robs or defrauds his neighbor, </w:t>
      </w:r>
      <w:r>
        <w:rPr>
          <w:rFonts w:eastAsia="Segoe UI" w:cs="Arial"/>
          <w:b/>
        </w:rPr>
        <w:t xml:space="preserve">3 </w:t>
      </w:r>
      <w:r>
        <w:rPr>
          <w:rFonts w:eastAsia="Segoe UI" w:cs="Arial"/>
        </w:rPr>
        <w:t>or he finds something lost and is deceptive about it, and if he swears falsely over any such sin he may commit,</w:t>
      </w:r>
      <w:r w:rsidR="00703F61">
        <w:rPr>
          <w:rStyle w:val="EndnoteReference"/>
          <w:rFonts w:eastAsia="Segoe UI" w:cs="Arial"/>
        </w:rPr>
        <w:endnoteReference w:id="3"/>
      </w:r>
      <w:r>
        <w:rPr>
          <w:rFonts w:eastAsia="Segoe UI" w:cs="Arial"/>
        </w:rPr>
        <w:t xml:space="preserve"> this is what he should do: </w:t>
      </w:r>
      <w:r>
        <w:rPr>
          <w:rFonts w:eastAsia="Segoe UI" w:cs="Arial"/>
          <w:b/>
        </w:rPr>
        <w:t xml:space="preserve">4 </w:t>
      </w:r>
      <w:r>
        <w:rPr>
          <w:rFonts w:eastAsia="Segoe UI" w:cs="Arial"/>
        </w:rPr>
        <w:t xml:space="preserve">If he has sinned and is guilty, he must return what he stole, what he extorted, what he took by fraud, what was entrusted to him, or the lost thing that he found, </w:t>
      </w:r>
      <w:r>
        <w:rPr>
          <w:rFonts w:eastAsia="Segoe UI" w:cs="Arial"/>
          <w:b/>
        </w:rPr>
        <w:t xml:space="preserve">5 </w:t>
      </w:r>
      <w:r>
        <w:rPr>
          <w:rFonts w:eastAsia="Segoe UI" w:cs="Arial"/>
        </w:rPr>
        <w:t>or anything about which he swore falsely, and he must make full compensation for it,</w:t>
      </w:r>
      <w:r w:rsidR="00703F61">
        <w:rPr>
          <w:rStyle w:val="EndnoteReference"/>
          <w:rFonts w:eastAsia="Segoe UI" w:cs="Arial"/>
        </w:rPr>
        <w:endnoteReference w:id="4"/>
      </w:r>
      <w:r>
        <w:rPr>
          <w:rFonts w:eastAsia="Segoe UI" w:cs="Arial"/>
        </w:rPr>
        <w:t xml:space="preserve"> and he will add to it a fifth of its value. He will give it to the owner on the day his guilt is proved. </w:t>
      </w:r>
      <w:r>
        <w:rPr>
          <w:rFonts w:eastAsia="Segoe UI" w:cs="Arial"/>
          <w:b/>
        </w:rPr>
        <w:t xml:space="preserve">6 </w:t>
      </w:r>
      <w:r>
        <w:rPr>
          <w:rFonts w:eastAsia="Segoe UI" w:cs="Arial"/>
        </w:rPr>
        <w:t>And he will bring to the priest as his guilt offering to Jehovah a sound ram from the flock according to the assessed value, for a guilt offering.</w:t>
      </w:r>
      <w:r w:rsidR="00703F61">
        <w:rPr>
          <w:rStyle w:val="EndnoteReference"/>
          <w:rFonts w:eastAsia="Segoe UI" w:cs="Arial"/>
        </w:rPr>
        <w:endnoteReference w:id="5"/>
      </w:r>
      <w:r>
        <w:rPr>
          <w:rFonts w:ascii="MEPS Bookman WTS" w:eastAsia="Segoe UI" w:hAnsi="MEPS Bookman WTS" w:cs="Segoe UI"/>
        </w:rPr>
        <w:t xml:space="preserve"> </w:t>
      </w:r>
      <w:r>
        <w:rPr>
          <w:rFonts w:eastAsia="Segoe UI" w:cs="Arial"/>
          <w:b/>
        </w:rPr>
        <w:t xml:space="preserve">7 </w:t>
      </w:r>
      <w:r>
        <w:rPr>
          <w:rFonts w:eastAsia="Segoe UI" w:cs="Arial"/>
        </w:rPr>
        <w:t>The priest will make atonement for him before Jehovah, and he will be forgiven for anything he may have done resulting in his guilt.”</w:t>
      </w:r>
      <w:r w:rsidR="00703F61">
        <w:rPr>
          <w:rStyle w:val="EndnoteReference"/>
          <w:rFonts w:eastAsia="Segoe UI" w:cs="Arial"/>
        </w:rPr>
        <w:endnoteReference w:id="6"/>
      </w:r>
    </w:p>
    <w:p w:rsidR="003F6F99" w:rsidRDefault="003F6F99" w:rsidP="003F6F99">
      <w:pPr>
        <w:rPr>
          <w:rFonts w:eastAsia="Segoe UI" w:cs="Arial"/>
        </w:rPr>
      </w:pPr>
      <w:r>
        <w:rPr>
          <w:rFonts w:eastAsia="Segoe UI" w:cs="Arial"/>
          <w:b/>
        </w:rPr>
        <w:t xml:space="preserve">8 </w:t>
      </w:r>
      <w:r>
        <w:rPr>
          <w:rFonts w:eastAsia="Segoe UI" w:cs="Arial"/>
        </w:rPr>
        <w:t xml:space="preserve">Jehovah continued to speak to Moses, saying: </w:t>
      </w:r>
      <w:r>
        <w:rPr>
          <w:rFonts w:eastAsia="Segoe UI" w:cs="Arial"/>
          <w:b/>
        </w:rPr>
        <w:t xml:space="preserve">9 </w:t>
      </w:r>
      <w:r>
        <w:rPr>
          <w:rFonts w:eastAsia="Segoe UI" w:cs="Arial"/>
        </w:rPr>
        <w:t>“Command Aaron and his sons and say, ‘This is the law of the burnt offering:</w:t>
      </w:r>
      <w:r w:rsidR="00703F61">
        <w:rPr>
          <w:rStyle w:val="EndnoteReference"/>
          <w:rFonts w:eastAsia="Segoe UI" w:cs="Arial"/>
        </w:rPr>
        <w:endnoteReference w:id="7"/>
      </w:r>
      <w:r>
        <w:rPr>
          <w:rFonts w:eastAsia="Segoe UI" w:cs="Arial"/>
        </w:rPr>
        <w:t xml:space="preserve"> The burnt offering will remain on the hearth on the altar all night long until the morning, and the fire will be kept burning on the altar. </w:t>
      </w:r>
      <w:r>
        <w:rPr>
          <w:rFonts w:eastAsia="Segoe UI" w:cs="Arial"/>
          <w:b/>
        </w:rPr>
        <w:t xml:space="preserve">10 </w:t>
      </w:r>
      <w:r>
        <w:rPr>
          <w:rFonts w:eastAsia="Segoe UI" w:cs="Arial"/>
        </w:rPr>
        <w:t>The priest will clothe himself with his official dress of linen,</w:t>
      </w:r>
      <w:r w:rsidR="00703F61">
        <w:rPr>
          <w:rStyle w:val="EndnoteReference"/>
          <w:rFonts w:eastAsia="Segoe UI" w:cs="Arial"/>
        </w:rPr>
        <w:endnoteReference w:id="8"/>
      </w:r>
      <w:r>
        <w:rPr>
          <w:rFonts w:eastAsia="Segoe UI" w:cs="Arial"/>
        </w:rPr>
        <w:t xml:space="preserve"> and he will put the linen shorts</w:t>
      </w:r>
      <w:r w:rsidR="00703F61">
        <w:rPr>
          <w:rStyle w:val="FootnoteReference"/>
          <w:rFonts w:eastAsia="Segoe UI" w:cs="Arial"/>
        </w:rPr>
        <w:footnoteReference w:id="2"/>
      </w:r>
      <w:r w:rsidR="00703F61">
        <w:rPr>
          <w:rStyle w:val="EndnoteReference"/>
          <w:rFonts w:eastAsia="Segoe UI" w:cs="Arial"/>
        </w:rPr>
        <w:endnoteReference w:id="9"/>
      </w:r>
      <w:r>
        <w:rPr>
          <w:rFonts w:eastAsia="Segoe UI" w:cs="Arial"/>
        </w:rPr>
        <w:t xml:space="preserve"> on over his flesh. Then he will remove the ashes</w:t>
      </w:r>
      <w:r w:rsidR="00703F61">
        <w:rPr>
          <w:rStyle w:val="FootnoteReference"/>
          <w:rFonts w:eastAsia="Segoe UI" w:cs="Arial"/>
        </w:rPr>
        <w:footnoteReference w:id="3"/>
      </w:r>
      <w:r w:rsidR="00703F61">
        <w:rPr>
          <w:rStyle w:val="EndnoteReference"/>
          <w:rFonts w:eastAsia="Segoe UI" w:cs="Arial"/>
        </w:rPr>
        <w:endnoteReference w:id="10"/>
      </w:r>
      <w:r>
        <w:rPr>
          <w:rFonts w:eastAsia="Segoe UI" w:cs="Arial"/>
        </w:rPr>
        <w:t xml:space="preserve"> of the burnt offering that the fire had consumed on the altar and place them beside the altar. </w:t>
      </w:r>
      <w:r>
        <w:rPr>
          <w:rFonts w:eastAsia="Segoe UI" w:cs="Arial"/>
          <w:b/>
        </w:rPr>
        <w:t xml:space="preserve">11 </w:t>
      </w:r>
      <w:r>
        <w:rPr>
          <w:rFonts w:eastAsia="Segoe UI" w:cs="Arial"/>
        </w:rPr>
        <w:t>Then he will take off his garments</w:t>
      </w:r>
      <w:r w:rsidR="00703F61">
        <w:rPr>
          <w:rStyle w:val="EndnoteReference"/>
          <w:rFonts w:eastAsia="Segoe UI" w:cs="Arial"/>
        </w:rPr>
        <w:endnoteReference w:id="11"/>
      </w:r>
      <w:r>
        <w:rPr>
          <w:rFonts w:eastAsia="Segoe UI" w:cs="Arial"/>
        </w:rPr>
        <w:t xml:space="preserve"> and put on other garments and take the ashes to a clean place outside the camp.</w:t>
      </w:r>
      <w:r w:rsidR="00703F61">
        <w:rPr>
          <w:rStyle w:val="EndnoteReference"/>
          <w:rFonts w:eastAsia="Segoe UI" w:cs="Arial"/>
        </w:rPr>
        <w:endnoteReference w:id="12"/>
      </w:r>
      <w:r>
        <w:rPr>
          <w:rFonts w:ascii="MEPS Bookman WTS" w:eastAsia="Segoe UI" w:hAnsi="MEPS Bookman WTS" w:cs="Segoe UI"/>
        </w:rPr>
        <w:t xml:space="preserve"> </w:t>
      </w:r>
      <w:r>
        <w:rPr>
          <w:rFonts w:eastAsia="Segoe UI" w:cs="Arial"/>
          <w:b/>
        </w:rPr>
        <w:t xml:space="preserve">12 </w:t>
      </w:r>
      <w:r>
        <w:rPr>
          <w:rFonts w:eastAsia="Segoe UI" w:cs="Arial"/>
        </w:rPr>
        <w:t>The fire will be kept burning on the altar. It must not go out. The priest must burn wood</w:t>
      </w:r>
      <w:r w:rsidR="00703F61">
        <w:rPr>
          <w:rStyle w:val="EndnoteReference"/>
          <w:rFonts w:eastAsia="Segoe UI" w:cs="Arial"/>
        </w:rPr>
        <w:endnoteReference w:id="13"/>
      </w:r>
      <w:r>
        <w:rPr>
          <w:rFonts w:eastAsia="Segoe UI" w:cs="Arial"/>
        </w:rPr>
        <w:t xml:space="preserve"> on it each morning and arrange the burnt offering over it, and he will make the fat of the communion sacrifices smoke over it.</w:t>
      </w:r>
      <w:r w:rsidR="00703F61">
        <w:rPr>
          <w:rStyle w:val="EndnoteReference"/>
          <w:rFonts w:eastAsia="Segoe UI" w:cs="Arial"/>
        </w:rPr>
        <w:endnoteReference w:id="14"/>
      </w:r>
      <w:r>
        <w:rPr>
          <w:rFonts w:ascii="MEPS Bookman WTS" w:eastAsia="Segoe UI" w:hAnsi="MEPS Bookman WTS" w:cs="Segoe UI"/>
        </w:rPr>
        <w:t xml:space="preserve"> </w:t>
      </w:r>
      <w:r>
        <w:rPr>
          <w:rFonts w:eastAsia="Segoe UI" w:cs="Arial"/>
          <w:b/>
        </w:rPr>
        <w:t xml:space="preserve">13 </w:t>
      </w:r>
      <w:r>
        <w:rPr>
          <w:rFonts w:eastAsia="Segoe UI" w:cs="Arial"/>
        </w:rPr>
        <w:t>Fire will be kept constantly burning on the altar. It must not go out.</w:t>
      </w:r>
    </w:p>
    <w:p w:rsidR="003F6F99" w:rsidRDefault="003F6F99" w:rsidP="003F6F99">
      <w:pPr>
        <w:rPr>
          <w:rFonts w:eastAsia="Segoe UI" w:cs="Arial"/>
        </w:rPr>
      </w:pPr>
      <w:r>
        <w:rPr>
          <w:rFonts w:eastAsia="Segoe UI" w:cs="Arial"/>
          <w:b/>
        </w:rPr>
        <w:t xml:space="preserve">14 </w:t>
      </w:r>
      <w:r>
        <w:rPr>
          <w:rFonts w:eastAsia="Segoe UI" w:cs="Arial"/>
        </w:rPr>
        <w:t>“‘Now this is the law of the grain offering:</w:t>
      </w:r>
      <w:r w:rsidR="00703F61">
        <w:rPr>
          <w:rStyle w:val="EndnoteReference"/>
          <w:rFonts w:eastAsia="Segoe UI" w:cs="Arial"/>
        </w:rPr>
        <w:endnoteReference w:id="15"/>
      </w:r>
      <w:r>
        <w:rPr>
          <w:rFonts w:eastAsia="Segoe UI" w:cs="Arial"/>
        </w:rPr>
        <w:t xml:space="preserve"> You sons of Aaron are to present it before Jehovah in front of the altar. </w:t>
      </w:r>
      <w:r>
        <w:rPr>
          <w:rFonts w:eastAsia="Segoe UI" w:cs="Arial"/>
          <w:b/>
        </w:rPr>
        <w:t xml:space="preserve">15 </w:t>
      </w:r>
      <w:r>
        <w:rPr>
          <w:rFonts w:eastAsia="Segoe UI" w:cs="Arial"/>
        </w:rPr>
        <w:t>One of them will take a handful from the fine flour of the grain offering and some of its oil and all the frankincense that is on the grain offering, and he will make it smoke on the altar as a pleasing</w:t>
      </w:r>
      <w:r w:rsidR="00703F61">
        <w:rPr>
          <w:rStyle w:val="FootnoteReference"/>
          <w:rFonts w:eastAsia="Segoe UI" w:cs="Arial"/>
        </w:rPr>
        <w:footnoteReference w:id="4"/>
      </w:r>
      <w:r>
        <w:rPr>
          <w:rFonts w:eastAsia="Segoe UI" w:cs="Arial"/>
        </w:rPr>
        <w:t xml:space="preserve"> aroma for a token offering</w:t>
      </w:r>
      <w:r w:rsidR="00703F61">
        <w:rPr>
          <w:rStyle w:val="FootnoteReference"/>
          <w:rFonts w:eastAsia="Segoe UI" w:cs="Arial"/>
        </w:rPr>
        <w:footnoteReference w:id="5"/>
      </w:r>
      <w:r>
        <w:rPr>
          <w:rFonts w:eastAsia="Segoe UI" w:cs="Arial"/>
        </w:rPr>
        <w:t xml:space="preserve"> to Jehovah.</w:t>
      </w:r>
      <w:r w:rsidR="00703F61">
        <w:rPr>
          <w:rStyle w:val="EndnoteReference"/>
          <w:rFonts w:eastAsia="Segoe UI" w:cs="Arial"/>
        </w:rPr>
        <w:endnoteReference w:id="16"/>
      </w:r>
      <w:r>
        <w:rPr>
          <w:rFonts w:ascii="MEPS Bookman WTS" w:eastAsia="Segoe UI" w:hAnsi="MEPS Bookman WTS" w:cs="Segoe UI"/>
        </w:rPr>
        <w:t xml:space="preserve"> </w:t>
      </w:r>
      <w:r>
        <w:rPr>
          <w:rFonts w:eastAsia="Segoe UI" w:cs="Arial"/>
          <w:b/>
        </w:rPr>
        <w:t xml:space="preserve">16 </w:t>
      </w:r>
      <w:r>
        <w:rPr>
          <w:rFonts w:eastAsia="Segoe UI" w:cs="Arial"/>
        </w:rPr>
        <w:t>Aaron and his sons will eat what is left of it.</w:t>
      </w:r>
      <w:r w:rsidR="00703F61">
        <w:rPr>
          <w:rStyle w:val="EndnoteReference"/>
          <w:rFonts w:eastAsia="Segoe UI" w:cs="Arial"/>
        </w:rPr>
        <w:endnoteReference w:id="17"/>
      </w:r>
      <w:r>
        <w:rPr>
          <w:rFonts w:eastAsia="Segoe UI" w:cs="Arial"/>
        </w:rPr>
        <w:t xml:space="preserve"> It will be eaten as unleavened bread in a holy place. They will eat it in the courtyard of the tent of meeting.</w:t>
      </w:r>
      <w:r w:rsidR="00703F61">
        <w:rPr>
          <w:rStyle w:val="EndnoteReference"/>
          <w:rFonts w:eastAsia="Segoe UI" w:cs="Arial"/>
        </w:rPr>
        <w:endnoteReference w:id="18"/>
      </w:r>
      <w:r>
        <w:rPr>
          <w:rFonts w:ascii="MEPS Bookman WTS" w:eastAsia="Segoe UI" w:hAnsi="MEPS Bookman WTS" w:cs="Segoe UI"/>
        </w:rPr>
        <w:t xml:space="preserve"> </w:t>
      </w:r>
      <w:r>
        <w:rPr>
          <w:rFonts w:eastAsia="Segoe UI" w:cs="Arial"/>
          <w:b/>
        </w:rPr>
        <w:t xml:space="preserve">17 </w:t>
      </w:r>
      <w:r>
        <w:rPr>
          <w:rFonts w:eastAsia="Segoe UI" w:cs="Arial"/>
        </w:rPr>
        <w:t>It should not be baked with anything leavened.</w:t>
      </w:r>
      <w:r w:rsidR="00703F61">
        <w:rPr>
          <w:rStyle w:val="EndnoteReference"/>
          <w:rFonts w:eastAsia="Segoe UI" w:cs="Arial"/>
        </w:rPr>
        <w:endnoteReference w:id="19"/>
      </w:r>
      <w:r>
        <w:rPr>
          <w:rFonts w:eastAsia="Segoe UI" w:cs="Arial"/>
        </w:rPr>
        <w:t xml:space="preserve"> I have given it as their share out of my offerings made by fire.</w:t>
      </w:r>
      <w:r w:rsidR="00703F61">
        <w:rPr>
          <w:rStyle w:val="EndnoteReference"/>
          <w:rFonts w:eastAsia="Segoe UI" w:cs="Arial"/>
        </w:rPr>
        <w:endnoteReference w:id="20"/>
      </w:r>
      <w:r>
        <w:rPr>
          <w:rFonts w:eastAsia="Segoe UI" w:cs="Arial"/>
        </w:rPr>
        <w:t xml:space="preserve"> It is something most holy,</w:t>
      </w:r>
      <w:r w:rsidR="00703F61">
        <w:rPr>
          <w:rStyle w:val="EndnoteReference"/>
          <w:rFonts w:eastAsia="Segoe UI" w:cs="Arial"/>
        </w:rPr>
        <w:endnoteReference w:id="21"/>
      </w:r>
      <w:r>
        <w:rPr>
          <w:rFonts w:eastAsia="Segoe UI" w:cs="Arial"/>
        </w:rPr>
        <w:t xml:space="preserve"> like the sin offering and like the guilt offering. </w:t>
      </w:r>
      <w:r>
        <w:rPr>
          <w:rFonts w:eastAsia="Segoe UI" w:cs="Arial"/>
          <w:b/>
        </w:rPr>
        <w:t xml:space="preserve">18 </w:t>
      </w:r>
      <w:r>
        <w:rPr>
          <w:rFonts w:eastAsia="Segoe UI" w:cs="Arial"/>
        </w:rPr>
        <w:t>Every male among the sons of Aaron will eat it.</w:t>
      </w:r>
      <w:r w:rsidR="00703F61">
        <w:rPr>
          <w:rStyle w:val="EndnoteReference"/>
          <w:rFonts w:eastAsia="Segoe UI" w:cs="Arial"/>
        </w:rPr>
        <w:endnoteReference w:id="22"/>
      </w:r>
      <w:r>
        <w:rPr>
          <w:rFonts w:eastAsia="Segoe UI" w:cs="Arial"/>
        </w:rPr>
        <w:t xml:space="preserve"> It is their permanent allowance throughout your generations from Jehovah’s offerings made by fire.</w:t>
      </w:r>
      <w:r w:rsidR="00703F61">
        <w:rPr>
          <w:rStyle w:val="EndnoteReference"/>
          <w:rFonts w:eastAsia="Segoe UI" w:cs="Arial"/>
        </w:rPr>
        <w:endnoteReference w:id="23"/>
      </w:r>
      <w:r>
        <w:rPr>
          <w:rFonts w:eastAsia="Segoe UI" w:cs="Arial"/>
        </w:rPr>
        <w:t xml:space="preserve"> Everything that touches them</w:t>
      </w:r>
      <w:r w:rsidR="00703F61">
        <w:rPr>
          <w:rStyle w:val="FootnoteReference"/>
          <w:rFonts w:eastAsia="Segoe UI" w:cs="Arial"/>
        </w:rPr>
        <w:footnoteReference w:id="6"/>
      </w:r>
      <w:r>
        <w:rPr>
          <w:rFonts w:eastAsia="Segoe UI" w:cs="Arial"/>
        </w:rPr>
        <w:t xml:space="preserve"> will become holy.’”</w:t>
      </w:r>
    </w:p>
    <w:p w:rsidR="003F6F99" w:rsidRDefault="003F6F99" w:rsidP="003F6F99">
      <w:pPr>
        <w:rPr>
          <w:rFonts w:eastAsia="Segoe UI" w:cs="Arial"/>
        </w:rPr>
      </w:pPr>
      <w:r>
        <w:rPr>
          <w:rFonts w:eastAsia="Segoe UI" w:cs="Arial"/>
          <w:b/>
        </w:rPr>
        <w:t xml:space="preserve">19 </w:t>
      </w:r>
      <w:r>
        <w:rPr>
          <w:rFonts w:eastAsia="Segoe UI" w:cs="Arial"/>
        </w:rPr>
        <w:t xml:space="preserve">Jehovah spoke again to Moses: </w:t>
      </w:r>
      <w:r>
        <w:rPr>
          <w:rFonts w:eastAsia="Segoe UI" w:cs="Arial"/>
          <w:b/>
        </w:rPr>
        <w:t xml:space="preserve">20 </w:t>
      </w:r>
      <w:r>
        <w:rPr>
          <w:rFonts w:eastAsia="Segoe UI" w:cs="Arial"/>
        </w:rPr>
        <w:t>“This is the offering that Aaron and his sons will present to Jehovah on the day he is anointed:</w:t>
      </w:r>
      <w:r w:rsidR="00703F61">
        <w:rPr>
          <w:rStyle w:val="EndnoteReference"/>
          <w:rFonts w:eastAsia="Segoe UI" w:cs="Arial"/>
        </w:rPr>
        <w:endnoteReference w:id="24"/>
      </w:r>
      <w:r>
        <w:rPr>
          <w:rFonts w:eastAsia="Segoe UI" w:cs="Arial"/>
        </w:rPr>
        <w:t xml:space="preserve"> the tenth of an e′phah</w:t>
      </w:r>
      <w:r w:rsidR="00703F61">
        <w:rPr>
          <w:rStyle w:val="FootnoteReference"/>
          <w:rFonts w:eastAsia="Segoe UI" w:cs="Arial"/>
        </w:rPr>
        <w:footnoteReference w:id="7"/>
      </w:r>
      <w:r w:rsidR="00703F61">
        <w:rPr>
          <w:rStyle w:val="EndnoteReference"/>
          <w:rFonts w:eastAsia="Segoe UI" w:cs="Arial"/>
        </w:rPr>
        <w:endnoteReference w:id="25"/>
      </w:r>
      <w:r>
        <w:rPr>
          <w:rFonts w:eastAsia="Segoe UI" w:cs="Arial"/>
        </w:rPr>
        <w:t xml:space="preserve"> of fine flour as a regular grain offering,</w:t>
      </w:r>
      <w:r w:rsidR="00703F61">
        <w:rPr>
          <w:rStyle w:val="EndnoteReference"/>
          <w:rFonts w:eastAsia="Segoe UI" w:cs="Arial"/>
        </w:rPr>
        <w:endnoteReference w:id="26"/>
      </w:r>
      <w:r>
        <w:rPr>
          <w:rFonts w:eastAsia="Segoe UI" w:cs="Arial"/>
        </w:rPr>
        <w:t xml:space="preserve"> half of it in the morning and half of it in the evening. </w:t>
      </w:r>
      <w:r>
        <w:rPr>
          <w:rFonts w:eastAsia="Segoe UI" w:cs="Arial"/>
          <w:b/>
        </w:rPr>
        <w:t xml:space="preserve">21 </w:t>
      </w:r>
      <w:r>
        <w:rPr>
          <w:rFonts w:eastAsia="Segoe UI" w:cs="Arial"/>
        </w:rPr>
        <w:t>It will be made with oil on a griddle.</w:t>
      </w:r>
      <w:r w:rsidR="00703F61">
        <w:rPr>
          <w:rStyle w:val="EndnoteReference"/>
          <w:rFonts w:eastAsia="Segoe UI" w:cs="Arial"/>
        </w:rPr>
        <w:endnoteReference w:id="27"/>
      </w:r>
      <w:r>
        <w:rPr>
          <w:rFonts w:eastAsia="Segoe UI" w:cs="Arial"/>
        </w:rPr>
        <w:t xml:space="preserve"> You will bring it well-mixed with oil and present it in pieces as a baked product of the grain offering as a pleasing</w:t>
      </w:r>
      <w:r w:rsidR="00703F61">
        <w:rPr>
          <w:rStyle w:val="FootnoteReference"/>
          <w:rFonts w:eastAsia="Segoe UI" w:cs="Arial"/>
        </w:rPr>
        <w:footnoteReference w:id="8"/>
      </w:r>
      <w:r>
        <w:rPr>
          <w:rFonts w:eastAsia="Segoe UI" w:cs="Arial"/>
        </w:rPr>
        <w:t xml:space="preserve"> aroma to Jehovah. </w:t>
      </w:r>
      <w:r>
        <w:rPr>
          <w:rFonts w:eastAsia="Segoe UI" w:cs="Arial"/>
          <w:b/>
        </w:rPr>
        <w:t xml:space="preserve">22 </w:t>
      </w:r>
      <w:r>
        <w:rPr>
          <w:rFonts w:eastAsia="Segoe UI" w:cs="Arial"/>
        </w:rPr>
        <w:t>The anointed priest who succeeds him from among his sons</w:t>
      </w:r>
      <w:r w:rsidR="00703F61">
        <w:rPr>
          <w:rStyle w:val="EndnoteReference"/>
          <w:rFonts w:eastAsia="Segoe UI" w:cs="Arial"/>
        </w:rPr>
        <w:endnoteReference w:id="28"/>
      </w:r>
      <w:r>
        <w:rPr>
          <w:rFonts w:eastAsia="Segoe UI" w:cs="Arial"/>
        </w:rPr>
        <w:t xml:space="preserve"> will make it. It is a lasting regulation: As a whole offering it will be made to smoke to Jehovah. </w:t>
      </w:r>
      <w:r>
        <w:rPr>
          <w:rFonts w:eastAsia="Segoe UI" w:cs="Arial"/>
          <w:b/>
        </w:rPr>
        <w:t xml:space="preserve">23 </w:t>
      </w:r>
      <w:r>
        <w:rPr>
          <w:rFonts w:eastAsia="Segoe UI" w:cs="Arial"/>
        </w:rPr>
        <w:t>Every grain offering of a priest should be a whole offering. It must not be eaten.”</w:t>
      </w:r>
    </w:p>
    <w:p w:rsidR="003F6F99" w:rsidRDefault="003F6F99" w:rsidP="003F6F99">
      <w:pPr>
        <w:rPr>
          <w:rFonts w:ascii="MEPS Bookman WTS" w:eastAsia="Segoe UI" w:hAnsi="MEPS Bookman WTS" w:cs="Segoe UI"/>
        </w:rPr>
      </w:pPr>
      <w:r>
        <w:rPr>
          <w:rFonts w:eastAsia="Segoe UI" w:cs="Arial"/>
          <w:b/>
        </w:rPr>
        <w:t xml:space="preserve">24 </w:t>
      </w:r>
      <w:r>
        <w:rPr>
          <w:rFonts w:eastAsia="Segoe UI" w:cs="Arial"/>
        </w:rPr>
        <w:t xml:space="preserve">Jehovah spoke again to Moses and said: </w:t>
      </w:r>
      <w:r>
        <w:rPr>
          <w:rFonts w:eastAsia="Segoe UI" w:cs="Arial"/>
          <w:b/>
        </w:rPr>
        <w:t xml:space="preserve">25 </w:t>
      </w:r>
      <w:r>
        <w:rPr>
          <w:rFonts w:eastAsia="Segoe UI" w:cs="Arial"/>
        </w:rPr>
        <w:t>“Tell Aaron and his sons, ‘This is the law of the sin offering:</w:t>
      </w:r>
      <w:r w:rsidR="00703F61">
        <w:rPr>
          <w:rStyle w:val="EndnoteReference"/>
          <w:rFonts w:eastAsia="Segoe UI" w:cs="Arial"/>
        </w:rPr>
        <w:endnoteReference w:id="29"/>
      </w:r>
      <w:r>
        <w:rPr>
          <w:rFonts w:eastAsia="Segoe UI" w:cs="Arial"/>
        </w:rPr>
        <w:t xml:space="preserve"> In the place where the burnt offering is slaughtered,</w:t>
      </w:r>
      <w:r w:rsidR="00703F61">
        <w:rPr>
          <w:rStyle w:val="EndnoteReference"/>
          <w:rFonts w:eastAsia="Segoe UI" w:cs="Arial"/>
        </w:rPr>
        <w:endnoteReference w:id="30"/>
      </w:r>
      <w:r>
        <w:rPr>
          <w:rFonts w:eastAsia="Segoe UI" w:cs="Arial"/>
        </w:rPr>
        <w:t xml:space="preserve"> the sin offering will also be slaughtered before Jehovah. It is a most holy thing. </w:t>
      </w:r>
      <w:r>
        <w:rPr>
          <w:rFonts w:eastAsia="Segoe UI" w:cs="Arial"/>
          <w:b/>
        </w:rPr>
        <w:t xml:space="preserve">26 </w:t>
      </w:r>
      <w:r>
        <w:rPr>
          <w:rFonts w:eastAsia="Segoe UI" w:cs="Arial"/>
        </w:rPr>
        <w:t>The priest who offers it for sin will eat it.</w:t>
      </w:r>
      <w:r w:rsidR="00703F61">
        <w:rPr>
          <w:rStyle w:val="EndnoteReference"/>
          <w:rFonts w:eastAsia="Segoe UI" w:cs="Arial"/>
        </w:rPr>
        <w:endnoteReference w:id="31"/>
      </w:r>
      <w:r>
        <w:rPr>
          <w:rFonts w:eastAsia="Segoe UI" w:cs="Arial"/>
        </w:rPr>
        <w:t xml:space="preserve"> It will be eaten in a holy place, in the courtyard of the tent of meeting.</w:t>
      </w:r>
      <w:r w:rsidR="00703F61">
        <w:rPr>
          <w:rStyle w:val="EndnoteReference"/>
          <w:rFonts w:eastAsia="Segoe UI" w:cs="Arial"/>
        </w:rPr>
        <w:endnoteReference w:id="32"/>
      </w:r>
    </w:p>
    <w:p w:rsidR="003F6F99" w:rsidRDefault="003F6F99" w:rsidP="003F6F99">
      <w:pPr>
        <w:rPr>
          <w:rFonts w:eastAsia="Segoe UI" w:cs="Arial"/>
        </w:rPr>
      </w:pPr>
      <w:r>
        <w:rPr>
          <w:rFonts w:eastAsia="Segoe UI" w:cs="Arial"/>
          <w:b/>
        </w:rPr>
        <w:t xml:space="preserve">27 </w:t>
      </w:r>
      <w:r>
        <w:rPr>
          <w:rFonts w:eastAsia="Segoe UI" w:cs="Arial"/>
        </w:rPr>
        <w:t xml:space="preserve">“‘Everything that touches its flesh will become holy, and when anyone spatters some of its blood on his garment, you should wash what was spattered with blood in a holy place. </w:t>
      </w:r>
      <w:r>
        <w:rPr>
          <w:rFonts w:eastAsia="Segoe UI" w:cs="Arial"/>
          <w:b/>
        </w:rPr>
        <w:t xml:space="preserve">28 </w:t>
      </w:r>
      <w:r>
        <w:rPr>
          <w:rFonts w:eastAsia="Segoe UI" w:cs="Arial"/>
        </w:rPr>
        <w:t>The earthenware vessel in which it was boiled is to be shattered. But if it was boiled in a copper vessel, then the vessel must be scoured and washed with water.</w:t>
      </w:r>
    </w:p>
    <w:p w:rsidR="003F6F99" w:rsidRDefault="003F6F99" w:rsidP="003F6F99">
      <w:pPr>
        <w:rPr>
          <w:rFonts w:eastAsia="Segoe UI" w:cs="Arial"/>
        </w:rPr>
      </w:pPr>
      <w:r>
        <w:rPr>
          <w:rFonts w:eastAsia="Segoe UI" w:cs="Arial"/>
          <w:b/>
        </w:rPr>
        <w:t xml:space="preserve">29 </w:t>
      </w:r>
      <w:r>
        <w:rPr>
          <w:rFonts w:eastAsia="Segoe UI" w:cs="Arial"/>
        </w:rPr>
        <w:t>“‘Every male among the priests will eat it.</w:t>
      </w:r>
      <w:r w:rsidR="00703F61">
        <w:rPr>
          <w:rStyle w:val="EndnoteReference"/>
          <w:rFonts w:eastAsia="Segoe UI" w:cs="Arial"/>
        </w:rPr>
        <w:endnoteReference w:id="33"/>
      </w:r>
      <w:r>
        <w:rPr>
          <w:rFonts w:eastAsia="Segoe UI" w:cs="Arial"/>
        </w:rPr>
        <w:t xml:space="preserve"> It is something most holy.</w:t>
      </w:r>
      <w:r w:rsidR="00703F61">
        <w:rPr>
          <w:rStyle w:val="EndnoteReference"/>
          <w:rFonts w:eastAsia="Segoe UI" w:cs="Arial"/>
        </w:rPr>
        <w:endnoteReference w:id="34"/>
      </w:r>
      <w:r>
        <w:rPr>
          <w:rFonts w:ascii="MEPS Bookman WTS" w:eastAsia="Segoe UI" w:hAnsi="MEPS Bookman WTS" w:cs="Segoe UI"/>
        </w:rPr>
        <w:t xml:space="preserve"> </w:t>
      </w:r>
      <w:r>
        <w:rPr>
          <w:rFonts w:eastAsia="Segoe UI" w:cs="Arial"/>
          <w:b/>
        </w:rPr>
        <w:t xml:space="preserve">30 </w:t>
      </w:r>
      <w:r>
        <w:rPr>
          <w:rFonts w:eastAsia="Segoe UI" w:cs="Arial"/>
        </w:rPr>
        <w:t>However, no sin offering is to be eaten if some of its blood is brought into the tent of meeting to make atonement in the holy place.</w:t>
      </w:r>
      <w:r w:rsidR="00703F61">
        <w:rPr>
          <w:rStyle w:val="EndnoteReference"/>
          <w:rFonts w:eastAsia="Segoe UI" w:cs="Arial"/>
        </w:rPr>
        <w:endnoteReference w:id="35"/>
      </w:r>
      <w:r>
        <w:rPr>
          <w:rFonts w:eastAsia="Segoe UI" w:cs="Arial"/>
        </w:rPr>
        <w:t xml:space="preserve"> It is to be burned with fire.</w:t>
      </w:r>
    </w:p>
    <w:p w:rsidR="00762BCB" w:rsidRPr="003F6F99" w:rsidRDefault="00762BCB" w:rsidP="003F6F99"/>
    <w:sectPr w:rsidR="00762BCB" w:rsidRPr="003F6F99"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1A99" w:rsidRDefault="00091A99">
      <w:r>
        <w:separator/>
      </w:r>
    </w:p>
  </w:endnote>
  <w:endnote w:type="continuationSeparator" w:id="0">
    <w:p w:rsidR="00091A99" w:rsidRDefault="00091A99">
      <w:r>
        <w:continuationSeparator/>
      </w:r>
    </w:p>
  </w:endnote>
  <w:endnote w:id="1">
    <w:p w:rsidR="00703F61" w:rsidRDefault="00703F61">
      <w:pPr>
        <w:pStyle w:val="EndnoteText"/>
      </w:pPr>
      <w:r>
        <w:rPr>
          <w:rStyle w:val="EndnoteReference"/>
        </w:rPr>
        <w:endnoteRef/>
      </w:r>
      <w:r>
        <w:t xml:space="preserve"> Numbers 5:6</w:t>
      </w:r>
    </w:p>
  </w:endnote>
  <w:endnote w:id="2">
    <w:p w:rsidR="00703F61" w:rsidRDefault="00703F61">
      <w:pPr>
        <w:pStyle w:val="EndnoteText"/>
      </w:pPr>
      <w:r>
        <w:rPr>
          <w:rStyle w:val="EndnoteReference"/>
        </w:rPr>
        <w:endnoteRef/>
      </w:r>
      <w:r>
        <w:t xml:space="preserve"> Exodus 22:7; Leviticus 19:11</w:t>
      </w:r>
    </w:p>
  </w:endnote>
  <w:endnote w:id="3">
    <w:p w:rsidR="00703F61" w:rsidRDefault="00703F61">
      <w:pPr>
        <w:pStyle w:val="EndnoteText"/>
      </w:pPr>
      <w:r>
        <w:rPr>
          <w:rStyle w:val="EndnoteReference"/>
        </w:rPr>
        <w:endnoteRef/>
      </w:r>
      <w:r>
        <w:t xml:space="preserve"> Exodus 22:10, 11; Leviticus 19:12; Ephesians 4:25; Colossians 3:9</w:t>
      </w:r>
    </w:p>
  </w:endnote>
  <w:endnote w:id="4">
    <w:p w:rsidR="00703F61" w:rsidRDefault="00703F61">
      <w:pPr>
        <w:pStyle w:val="EndnoteText"/>
      </w:pPr>
      <w:r>
        <w:rPr>
          <w:rStyle w:val="EndnoteReference"/>
        </w:rPr>
        <w:endnoteRef/>
      </w:r>
      <w:r>
        <w:t xml:space="preserve"> Leviticus 5:15, 16; Numbers 5:6, 7</w:t>
      </w:r>
    </w:p>
  </w:endnote>
  <w:endnote w:id="5">
    <w:p w:rsidR="00703F61" w:rsidRDefault="00703F61">
      <w:pPr>
        <w:pStyle w:val="EndnoteText"/>
      </w:pPr>
      <w:r>
        <w:rPr>
          <w:rStyle w:val="EndnoteReference"/>
        </w:rPr>
        <w:endnoteRef/>
      </w:r>
      <w:r>
        <w:t xml:space="preserve"> Leviticus 5:15; 7:1; Isaiah 53:10</w:t>
      </w:r>
    </w:p>
  </w:endnote>
  <w:endnote w:id="6">
    <w:p w:rsidR="00703F61" w:rsidRDefault="00703F61">
      <w:pPr>
        <w:pStyle w:val="EndnoteText"/>
      </w:pPr>
      <w:r>
        <w:rPr>
          <w:rStyle w:val="EndnoteReference"/>
        </w:rPr>
        <w:endnoteRef/>
      </w:r>
      <w:r>
        <w:t xml:space="preserve"> Leviticus 5:18</w:t>
      </w:r>
    </w:p>
  </w:endnote>
  <w:endnote w:id="7">
    <w:p w:rsidR="00703F61" w:rsidRDefault="00703F61">
      <w:pPr>
        <w:pStyle w:val="EndnoteText"/>
      </w:pPr>
      <w:r>
        <w:rPr>
          <w:rStyle w:val="EndnoteReference"/>
        </w:rPr>
        <w:endnoteRef/>
      </w:r>
      <w:r>
        <w:t xml:space="preserve"> Exodus 29:38-42; Numbers 28:3; Hebrews 10:11</w:t>
      </w:r>
    </w:p>
  </w:endnote>
  <w:endnote w:id="8">
    <w:p w:rsidR="00703F61" w:rsidRDefault="00703F61">
      <w:pPr>
        <w:pStyle w:val="EndnoteText"/>
      </w:pPr>
      <w:r>
        <w:rPr>
          <w:rStyle w:val="EndnoteReference"/>
        </w:rPr>
        <w:endnoteRef/>
      </w:r>
      <w:r>
        <w:t xml:space="preserve"> Exodus 28:39; Leviticus 16:32; Ezekiel 44:17</w:t>
      </w:r>
    </w:p>
  </w:endnote>
  <w:endnote w:id="9">
    <w:p w:rsidR="00703F61" w:rsidRDefault="00703F61">
      <w:pPr>
        <w:pStyle w:val="EndnoteText"/>
      </w:pPr>
      <w:r>
        <w:rPr>
          <w:rStyle w:val="EndnoteReference"/>
        </w:rPr>
        <w:endnoteRef/>
      </w:r>
      <w:r>
        <w:t xml:space="preserve"> Exodus 28:42; 39:27, 28</w:t>
      </w:r>
    </w:p>
  </w:endnote>
  <w:endnote w:id="10">
    <w:p w:rsidR="00703F61" w:rsidRDefault="00703F61">
      <w:pPr>
        <w:pStyle w:val="EndnoteText"/>
      </w:pPr>
      <w:r>
        <w:rPr>
          <w:rStyle w:val="EndnoteReference"/>
        </w:rPr>
        <w:endnoteRef/>
      </w:r>
      <w:r>
        <w:t xml:space="preserve"> Exodus 27:3; Leviticus 1:16</w:t>
      </w:r>
    </w:p>
  </w:endnote>
  <w:endnote w:id="11">
    <w:p w:rsidR="00703F61" w:rsidRDefault="00703F61">
      <w:pPr>
        <w:pStyle w:val="EndnoteText"/>
      </w:pPr>
      <w:r>
        <w:rPr>
          <w:rStyle w:val="EndnoteReference"/>
        </w:rPr>
        <w:endnoteRef/>
      </w:r>
      <w:r>
        <w:t xml:space="preserve"> Leviticus 16:23; Ezekiel 44:19</w:t>
      </w:r>
    </w:p>
  </w:endnote>
  <w:endnote w:id="12">
    <w:p w:rsidR="00703F61" w:rsidRDefault="00703F61">
      <w:pPr>
        <w:pStyle w:val="EndnoteText"/>
      </w:pPr>
      <w:r>
        <w:rPr>
          <w:rStyle w:val="EndnoteReference"/>
        </w:rPr>
        <w:endnoteRef/>
      </w:r>
      <w:r>
        <w:t xml:space="preserve"> Leviticus 4:3, 12</w:t>
      </w:r>
    </w:p>
  </w:endnote>
  <w:endnote w:id="13">
    <w:p w:rsidR="00703F61" w:rsidRDefault="00703F61">
      <w:pPr>
        <w:pStyle w:val="EndnoteText"/>
      </w:pPr>
      <w:r>
        <w:rPr>
          <w:rStyle w:val="EndnoteReference"/>
        </w:rPr>
        <w:endnoteRef/>
      </w:r>
      <w:r>
        <w:t xml:space="preserve"> Leviticus 1:7; Nehemiah 13:30, 31</w:t>
      </w:r>
    </w:p>
  </w:endnote>
  <w:endnote w:id="14">
    <w:p w:rsidR="00703F61" w:rsidRDefault="00703F61">
      <w:pPr>
        <w:pStyle w:val="EndnoteText"/>
      </w:pPr>
      <w:r>
        <w:rPr>
          <w:rStyle w:val="EndnoteReference"/>
        </w:rPr>
        <w:endnoteRef/>
      </w:r>
      <w:r>
        <w:t xml:space="preserve"> Leviticus 3:5, 16</w:t>
      </w:r>
    </w:p>
  </w:endnote>
  <w:endnote w:id="15">
    <w:p w:rsidR="00703F61" w:rsidRDefault="00703F61">
      <w:pPr>
        <w:pStyle w:val="EndnoteText"/>
      </w:pPr>
      <w:r>
        <w:rPr>
          <w:rStyle w:val="EndnoteReference"/>
        </w:rPr>
        <w:endnoteRef/>
      </w:r>
      <w:r>
        <w:t xml:space="preserve"> Leviticus 2:1; Numbers 15:3, 4</w:t>
      </w:r>
    </w:p>
  </w:endnote>
  <w:endnote w:id="16">
    <w:p w:rsidR="00703F61" w:rsidRDefault="00703F61">
      <w:pPr>
        <w:pStyle w:val="EndnoteText"/>
      </w:pPr>
      <w:r>
        <w:rPr>
          <w:rStyle w:val="EndnoteReference"/>
        </w:rPr>
        <w:endnoteRef/>
      </w:r>
      <w:r>
        <w:t xml:space="preserve"> Leviticus 2:2, 9; 5:11, 12</w:t>
      </w:r>
    </w:p>
  </w:endnote>
  <w:endnote w:id="17">
    <w:p w:rsidR="00703F61" w:rsidRDefault="00703F61">
      <w:pPr>
        <w:pStyle w:val="EndnoteText"/>
      </w:pPr>
      <w:r>
        <w:rPr>
          <w:rStyle w:val="EndnoteReference"/>
        </w:rPr>
        <w:endnoteRef/>
      </w:r>
      <w:r>
        <w:t xml:space="preserve"> Leviticus 2:3; 5:13; Ezekiel 44:29; 1 Corinthians 9:13</w:t>
      </w:r>
    </w:p>
  </w:endnote>
  <w:endnote w:id="18">
    <w:p w:rsidR="00703F61" w:rsidRDefault="00703F61">
      <w:pPr>
        <w:pStyle w:val="EndnoteText"/>
      </w:pPr>
      <w:r>
        <w:rPr>
          <w:rStyle w:val="EndnoteReference"/>
        </w:rPr>
        <w:endnoteRef/>
      </w:r>
      <w:r>
        <w:t xml:space="preserve"> Leviticus 10:12</w:t>
      </w:r>
    </w:p>
  </w:endnote>
  <w:endnote w:id="19">
    <w:p w:rsidR="00703F61" w:rsidRDefault="00703F61">
      <w:pPr>
        <w:pStyle w:val="EndnoteText"/>
      </w:pPr>
      <w:r>
        <w:rPr>
          <w:rStyle w:val="EndnoteReference"/>
        </w:rPr>
        <w:endnoteRef/>
      </w:r>
      <w:r>
        <w:t xml:space="preserve"> Leviticus 2:11</w:t>
      </w:r>
    </w:p>
  </w:endnote>
  <w:endnote w:id="20">
    <w:p w:rsidR="00703F61" w:rsidRDefault="00703F61">
      <w:pPr>
        <w:pStyle w:val="EndnoteText"/>
      </w:pPr>
      <w:r>
        <w:rPr>
          <w:rStyle w:val="EndnoteReference"/>
        </w:rPr>
        <w:endnoteRef/>
      </w:r>
      <w:r>
        <w:t xml:space="preserve"> Numbers 18:9</w:t>
      </w:r>
    </w:p>
  </w:endnote>
  <w:endnote w:id="21">
    <w:p w:rsidR="00703F61" w:rsidRDefault="00703F61">
      <w:pPr>
        <w:pStyle w:val="EndnoteText"/>
      </w:pPr>
      <w:r>
        <w:rPr>
          <w:rStyle w:val="EndnoteReference"/>
        </w:rPr>
        <w:endnoteRef/>
      </w:r>
      <w:r>
        <w:t xml:space="preserve"> Leviticus 2:3, 10</w:t>
      </w:r>
    </w:p>
  </w:endnote>
  <w:endnote w:id="22">
    <w:p w:rsidR="00703F61" w:rsidRDefault="00703F61">
      <w:pPr>
        <w:pStyle w:val="EndnoteText"/>
      </w:pPr>
      <w:r>
        <w:rPr>
          <w:rStyle w:val="EndnoteReference"/>
        </w:rPr>
        <w:endnoteRef/>
      </w:r>
      <w:r>
        <w:t xml:space="preserve"> Numbers 18:10</w:t>
      </w:r>
    </w:p>
  </w:endnote>
  <w:endnote w:id="23">
    <w:p w:rsidR="00703F61" w:rsidRDefault="00703F61">
      <w:pPr>
        <w:pStyle w:val="EndnoteText"/>
      </w:pPr>
      <w:r>
        <w:rPr>
          <w:rStyle w:val="EndnoteReference"/>
        </w:rPr>
        <w:endnoteRef/>
      </w:r>
      <w:r>
        <w:t xml:space="preserve"> Leviticus 24:8, 9</w:t>
      </w:r>
    </w:p>
  </w:endnote>
  <w:endnote w:id="24">
    <w:p w:rsidR="00703F61" w:rsidRDefault="00703F61">
      <w:pPr>
        <w:pStyle w:val="EndnoteText"/>
      </w:pPr>
      <w:r>
        <w:rPr>
          <w:rStyle w:val="EndnoteReference"/>
        </w:rPr>
        <w:endnoteRef/>
      </w:r>
      <w:r>
        <w:t xml:space="preserve"> Exodus 30:30; Hebrews 5:1</w:t>
      </w:r>
    </w:p>
  </w:endnote>
  <w:endnote w:id="25">
    <w:p w:rsidR="00703F61" w:rsidRDefault="00703F61">
      <w:pPr>
        <w:pStyle w:val="EndnoteText"/>
      </w:pPr>
      <w:r>
        <w:rPr>
          <w:rStyle w:val="EndnoteReference"/>
        </w:rPr>
        <w:endnoteRef/>
      </w:r>
      <w:r>
        <w:t xml:space="preserve"> Exodus 16:36</w:t>
      </w:r>
    </w:p>
  </w:endnote>
  <w:endnote w:id="26">
    <w:p w:rsidR="00703F61" w:rsidRDefault="00703F61">
      <w:pPr>
        <w:pStyle w:val="EndnoteText"/>
      </w:pPr>
      <w:r>
        <w:rPr>
          <w:rStyle w:val="EndnoteReference"/>
        </w:rPr>
        <w:endnoteRef/>
      </w:r>
      <w:r>
        <w:t xml:space="preserve"> Exodus 29:1, 2, 40, 41; Leviticus 2:1; 9:17; Numbers 28:4, 5</w:t>
      </w:r>
    </w:p>
  </w:endnote>
  <w:endnote w:id="27">
    <w:p w:rsidR="00703F61" w:rsidRDefault="00703F61">
      <w:pPr>
        <w:pStyle w:val="EndnoteText"/>
      </w:pPr>
      <w:r>
        <w:rPr>
          <w:rStyle w:val="EndnoteReference"/>
        </w:rPr>
        <w:endnoteRef/>
      </w:r>
      <w:r>
        <w:t xml:space="preserve"> Leviticus 2:5; 7:9; 1 Chronicles 23:29</w:t>
      </w:r>
    </w:p>
  </w:endnote>
  <w:endnote w:id="28">
    <w:p w:rsidR="00703F61" w:rsidRDefault="00703F61">
      <w:pPr>
        <w:pStyle w:val="EndnoteText"/>
      </w:pPr>
      <w:r>
        <w:rPr>
          <w:rStyle w:val="EndnoteReference"/>
        </w:rPr>
        <w:endnoteRef/>
      </w:r>
      <w:r>
        <w:t xml:space="preserve"> Deuteronomy 10:6</w:t>
      </w:r>
    </w:p>
  </w:endnote>
  <w:endnote w:id="29">
    <w:p w:rsidR="00703F61" w:rsidRDefault="00703F61">
      <w:pPr>
        <w:pStyle w:val="EndnoteText"/>
      </w:pPr>
      <w:r>
        <w:rPr>
          <w:rStyle w:val="EndnoteReference"/>
        </w:rPr>
        <w:endnoteRef/>
      </w:r>
      <w:r>
        <w:t xml:space="preserve"> Leviticus 4:3</w:t>
      </w:r>
    </w:p>
  </w:endnote>
  <w:endnote w:id="30">
    <w:p w:rsidR="00703F61" w:rsidRDefault="00703F61">
      <w:pPr>
        <w:pStyle w:val="EndnoteText"/>
      </w:pPr>
      <w:r>
        <w:rPr>
          <w:rStyle w:val="EndnoteReference"/>
        </w:rPr>
        <w:endnoteRef/>
      </w:r>
      <w:r>
        <w:t xml:space="preserve"> Leviticus 1:3, 11</w:t>
      </w:r>
    </w:p>
  </w:endnote>
  <w:endnote w:id="31">
    <w:p w:rsidR="00703F61" w:rsidRDefault="00703F61">
      <w:pPr>
        <w:pStyle w:val="EndnoteText"/>
      </w:pPr>
      <w:r>
        <w:rPr>
          <w:rStyle w:val="EndnoteReference"/>
        </w:rPr>
        <w:endnoteRef/>
      </w:r>
      <w:r>
        <w:t xml:space="preserve"> Leviticus 10:17; Numbers 18:9; Ezekiel 44:29</w:t>
      </w:r>
    </w:p>
  </w:endnote>
  <w:endnote w:id="32">
    <w:p w:rsidR="00703F61" w:rsidRDefault="00703F61">
      <w:pPr>
        <w:pStyle w:val="EndnoteText"/>
      </w:pPr>
      <w:r>
        <w:rPr>
          <w:rStyle w:val="EndnoteReference"/>
        </w:rPr>
        <w:endnoteRef/>
      </w:r>
      <w:r>
        <w:t xml:space="preserve"> Exodus 27:9; Leviticus 6:14, 16; Ezekiel 42:13</w:t>
      </w:r>
    </w:p>
  </w:endnote>
  <w:endnote w:id="33">
    <w:p w:rsidR="00703F61" w:rsidRDefault="00703F61">
      <w:pPr>
        <w:pStyle w:val="EndnoteText"/>
      </w:pPr>
      <w:r>
        <w:rPr>
          <w:rStyle w:val="EndnoteReference"/>
        </w:rPr>
        <w:endnoteRef/>
      </w:r>
      <w:r>
        <w:t xml:space="preserve"> Leviticus 6:14, 18; 21:21, 22; Numbers 18:10</w:t>
      </w:r>
    </w:p>
  </w:endnote>
  <w:endnote w:id="34">
    <w:p w:rsidR="00703F61" w:rsidRDefault="00703F61">
      <w:pPr>
        <w:pStyle w:val="EndnoteText"/>
      </w:pPr>
      <w:r>
        <w:rPr>
          <w:rStyle w:val="EndnoteReference"/>
        </w:rPr>
        <w:endnoteRef/>
      </w:r>
      <w:r>
        <w:t xml:space="preserve"> Leviticus 6:25</w:t>
      </w:r>
    </w:p>
  </w:endnote>
  <w:endnote w:id="35">
    <w:p w:rsidR="00703F61" w:rsidRDefault="00703F61">
      <w:pPr>
        <w:pStyle w:val="EndnoteText"/>
      </w:pPr>
      <w:r>
        <w:rPr>
          <w:rStyle w:val="EndnoteReference"/>
        </w:rPr>
        <w:endnoteRef/>
      </w:r>
      <w:r>
        <w:t xml:space="preserve"> Leviticus 4:5; 10:18; 16:27; Hebrews 13:11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1A99" w:rsidRDefault="00091A99">
      <w:r>
        <w:separator/>
      </w:r>
    </w:p>
  </w:footnote>
  <w:footnote w:type="continuationSeparator" w:id="0">
    <w:p w:rsidR="00091A99" w:rsidRDefault="00091A99">
      <w:r>
        <w:continuationSeparator/>
      </w:r>
    </w:p>
  </w:footnote>
  <w:footnote w:id="1">
    <w:p w:rsidR="00703F61" w:rsidRDefault="00703F61">
      <w:pPr>
        <w:pStyle w:val="FootnoteText"/>
      </w:pPr>
      <w:r>
        <w:rPr>
          <w:rStyle w:val="FootnoteReference"/>
        </w:rPr>
        <w:footnoteRef/>
      </w:r>
      <w:r>
        <w:t xml:space="preserve"> </w:t>
      </w:r>
      <w:r>
        <w:t>Or “a soul.”</w:t>
      </w:r>
    </w:p>
  </w:footnote>
  <w:footnote w:id="2">
    <w:p w:rsidR="00703F61" w:rsidRDefault="00703F61">
      <w:pPr>
        <w:pStyle w:val="FootnoteText"/>
      </w:pPr>
      <w:r>
        <w:rPr>
          <w:rStyle w:val="FootnoteReference"/>
        </w:rPr>
        <w:footnoteRef/>
      </w:r>
      <w:r>
        <w:t xml:space="preserve"> </w:t>
      </w:r>
      <w:r>
        <w:t>Or “undergarments.”</w:t>
      </w:r>
    </w:p>
  </w:footnote>
  <w:footnote w:id="3">
    <w:p w:rsidR="00703F61" w:rsidRDefault="00703F61">
      <w:pPr>
        <w:pStyle w:val="FootnoteText"/>
      </w:pPr>
      <w:r>
        <w:rPr>
          <w:rStyle w:val="FootnoteReference"/>
        </w:rPr>
        <w:footnoteRef/>
      </w:r>
      <w:r>
        <w:t xml:space="preserve"> </w:t>
      </w:r>
      <w:r>
        <w:t>Or “fatty ashes,” that is, ashes soaked with the fat of the sacrifices.</w:t>
      </w:r>
    </w:p>
  </w:footnote>
  <w:footnote w:id="4">
    <w:p w:rsidR="00703F61" w:rsidRDefault="00703F61">
      <w:pPr>
        <w:pStyle w:val="FootnoteText"/>
      </w:pPr>
      <w:r>
        <w:rPr>
          <w:rStyle w:val="FootnoteReference"/>
        </w:rPr>
        <w:footnoteRef/>
      </w:r>
      <w:r>
        <w:t xml:space="preserve"> </w:t>
      </w:r>
      <w:r>
        <w:t>Or “appeasing; soothing.” Lit., “restful.”</w:t>
      </w:r>
    </w:p>
  </w:footnote>
  <w:footnote w:id="5">
    <w:p w:rsidR="00703F61" w:rsidRDefault="00703F61">
      <w:pPr>
        <w:pStyle w:val="FootnoteText"/>
      </w:pPr>
      <w:r>
        <w:rPr>
          <w:rStyle w:val="FootnoteReference"/>
        </w:rPr>
        <w:footnoteRef/>
      </w:r>
      <w:r>
        <w:t xml:space="preserve"> </w:t>
      </w:r>
      <w:r>
        <w:t>Or “as a memorial (representative) portion of it.”</w:t>
      </w:r>
    </w:p>
  </w:footnote>
  <w:footnote w:id="6">
    <w:p w:rsidR="00703F61" w:rsidRDefault="00703F61">
      <w:pPr>
        <w:pStyle w:val="FootnoteText"/>
      </w:pPr>
      <w:r>
        <w:rPr>
          <w:rStyle w:val="FootnoteReference"/>
        </w:rPr>
        <w:footnoteRef/>
      </w:r>
      <w:r>
        <w:t xml:space="preserve"> </w:t>
      </w:r>
      <w:r>
        <w:t>Or “the offerings.”</w:t>
      </w:r>
    </w:p>
  </w:footnote>
  <w:footnote w:id="7">
    <w:p w:rsidR="00703F61" w:rsidRDefault="00703F61">
      <w:pPr>
        <w:pStyle w:val="FootnoteText"/>
      </w:pPr>
      <w:r>
        <w:rPr>
          <w:rStyle w:val="FootnoteReference"/>
        </w:rPr>
        <w:footnoteRef/>
      </w:r>
      <w:r>
        <w:t xml:space="preserve"> </w:t>
      </w:r>
      <w:r>
        <w:t>A tenth of an ephah equaled 2.2 L (2 dry qt). See App. B14.</w:t>
      </w:r>
    </w:p>
  </w:footnote>
  <w:footnote w:id="8">
    <w:p w:rsidR="00703F61" w:rsidRDefault="00703F61">
      <w:pPr>
        <w:pStyle w:val="FootnoteText"/>
      </w:pPr>
      <w:r>
        <w:rPr>
          <w:rStyle w:val="FootnoteReference"/>
        </w:rPr>
        <w:footnoteRef/>
      </w:r>
      <w:r>
        <w:t xml:space="preserve"> </w:t>
      </w:r>
      <w:r>
        <w:t>Or “appeasing; soothing.” Lit., “restful.”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703F61">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703F61">
        <w:t>Leviticus Chapter 6</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703F61">
      <w:t>03-Leviticus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703F61">
      <w:rPr>
        <w:noProof/>
        <w:snapToGrid w:val="0"/>
      </w:rPr>
      <w:t>Leviticus 06.Advisor.docx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703F61">
        <w:t>Leviticus Chapter 6</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703F61">
      <w:t>03-Leviticus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703F61">
      <w:rPr>
        <w:noProof/>
        <w:snapToGrid w:val="0"/>
      </w:rPr>
      <w:t>Leviticus 06.Advisor.docx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703F61">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703F61">
      <w:t>&lt;not set&gt;</w:t>
    </w:r>
    <w:r>
      <w:fldChar w:fldCharType="end"/>
    </w:r>
    <w:r>
      <w:tab/>
      <w:t xml:space="preserve">Checker: </w:t>
    </w:r>
    <w:r>
      <w:fldChar w:fldCharType="begin"/>
    </w:r>
    <w:r>
      <w:instrText xml:space="preserve"> DOCPROPERTY "_RoleChecker" </w:instrText>
    </w:r>
    <w:r>
      <w:fldChar w:fldCharType="separate"/>
    </w:r>
    <w:r w:rsidR="00703F61">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703F61">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1A99"/>
    <w:rsid w:val="00091A99"/>
    <w:rsid w:val="00245EDD"/>
    <w:rsid w:val="0026230D"/>
    <w:rsid w:val="002B524D"/>
    <w:rsid w:val="002C00A8"/>
    <w:rsid w:val="00310508"/>
    <w:rsid w:val="003B380B"/>
    <w:rsid w:val="003F6F99"/>
    <w:rsid w:val="004500A2"/>
    <w:rsid w:val="004B7393"/>
    <w:rsid w:val="004C5EB7"/>
    <w:rsid w:val="005D4494"/>
    <w:rsid w:val="005F29B7"/>
    <w:rsid w:val="006634F9"/>
    <w:rsid w:val="00683A19"/>
    <w:rsid w:val="006B2E68"/>
    <w:rsid w:val="006D0A9F"/>
    <w:rsid w:val="006E0169"/>
    <w:rsid w:val="00703F61"/>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10b5ea250b1d4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703F61"/>
    <w:pPr>
      <w:spacing w:line="240" w:lineRule="auto"/>
    </w:pPr>
    <w:rPr>
      <w:sz w:val="20"/>
      <w:szCs w:val="20"/>
    </w:rPr>
  </w:style>
  <w:style w:type="character" w:customStyle="1" w:styleId="FootnoteTextChar">
    <w:name w:val="Footnote Text Char"/>
    <w:basedOn w:val="DefaultParagraphFont"/>
    <w:link w:val="FootnoteText"/>
    <w:rsid w:val="00703F61"/>
    <w:rPr>
      <w:rFonts w:ascii="Arial" w:eastAsia="Times New Roman" w:hAnsi="Arial" w:cs="Latha"/>
      <w:lang w:val="en-US" w:eastAsia="en-US" w:bidi="ta-IN"/>
    </w:rPr>
  </w:style>
  <w:style w:type="character" w:styleId="FootnoteReference">
    <w:name w:val="footnote reference"/>
    <w:basedOn w:val="DefaultParagraphFont"/>
    <w:rsid w:val="00703F61"/>
    <w:rPr>
      <w:vertAlign w:val="superscript"/>
    </w:rPr>
  </w:style>
  <w:style w:type="paragraph" w:styleId="EndnoteText">
    <w:name w:val="endnote text"/>
    <w:basedOn w:val="Normal"/>
    <w:link w:val="EndnoteTextChar"/>
    <w:rsid w:val="00703F61"/>
    <w:pPr>
      <w:spacing w:line="240" w:lineRule="auto"/>
    </w:pPr>
    <w:rPr>
      <w:sz w:val="20"/>
      <w:szCs w:val="20"/>
    </w:rPr>
  </w:style>
  <w:style w:type="character" w:customStyle="1" w:styleId="EndnoteTextChar">
    <w:name w:val="Endnote Text Char"/>
    <w:basedOn w:val="DefaultParagraphFont"/>
    <w:link w:val="EndnoteText"/>
    <w:rsid w:val="00703F61"/>
    <w:rPr>
      <w:rFonts w:ascii="Arial" w:eastAsia="Times New Roman" w:hAnsi="Arial" w:cs="Latha"/>
      <w:lang w:val="en-US" w:eastAsia="en-US" w:bidi="ta-IN"/>
    </w:rPr>
  </w:style>
  <w:style w:type="character" w:styleId="EndnoteReference">
    <w:name w:val="endnote reference"/>
    <w:basedOn w:val="DefaultParagraphFont"/>
    <w:rsid w:val="00703F61"/>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703F61"/>
    <w:pPr>
      <w:spacing w:line="240" w:lineRule="auto"/>
    </w:pPr>
    <w:rPr>
      <w:sz w:val="20"/>
      <w:szCs w:val="20"/>
    </w:rPr>
  </w:style>
  <w:style w:type="character" w:customStyle="1" w:styleId="FootnoteTextChar">
    <w:name w:val="Footnote Text Char"/>
    <w:basedOn w:val="DefaultParagraphFont"/>
    <w:link w:val="FootnoteText"/>
    <w:rsid w:val="00703F61"/>
    <w:rPr>
      <w:rFonts w:ascii="Arial" w:eastAsia="Times New Roman" w:hAnsi="Arial" w:cs="Latha"/>
      <w:lang w:val="en-US" w:eastAsia="en-US" w:bidi="ta-IN"/>
    </w:rPr>
  </w:style>
  <w:style w:type="character" w:styleId="FootnoteReference">
    <w:name w:val="footnote reference"/>
    <w:basedOn w:val="DefaultParagraphFont"/>
    <w:rsid w:val="00703F61"/>
    <w:rPr>
      <w:vertAlign w:val="superscript"/>
    </w:rPr>
  </w:style>
  <w:style w:type="paragraph" w:styleId="EndnoteText">
    <w:name w:val="endnote text"/>
    <w:basedOn w:val="Normal"/>
    <w:link w:val="EndnoteTextChar"/>
    <w:rsid w:val="00703F61"/>
    <w:pPr>
      <w:spacing w:line="240" w:lineRule="auto"/>
    </w:pPr>
    <w:rPr>
      <w:sz w:val="20"/>
      <w:szCs w:val="20"/>
    </w:rPr>
  </w:style>
  <w:style w:type="character" w:customStyle="1" w:styleId="EndnoteTextChar">
    <w:name w:val="Endnote Text Char"/>
    <w:basedOn w:val="DefaultParagraphFont"/>
    <w:link w:val="EndnoteText"/>
    <w:rsid w:val="00703F61"/>
    <w:rPr>
      <w:rFonts w:ascii="Arial" w:eastAsia="Times New Roman" w:hAnsi="Arial" w:cs="Latha"/>
      <w:lang w:val="en-US" w:eastAsia="en-US" w:bidi="ta-IN"/>
    </w:rPr>
  </w:style>
  <w:style w:type="character" w:styleId="EndnoteReference">
    <w:name w:val="endnote reference"/>
    <w:basedOn w:val="DefaultParagraphFont"/>
    <w:rsid w:val="00703F6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10b5ea250b1d4ed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881</ap:Words>
  <ap:Characters>3665</ap:Characters>
  <ap:Application>Microsoft Office Word</ap:Application>
  <ap:DocSecurity>0</ap:DocSecurity>
  <ap:Lines>58</ap:Lines>
  <ap:Paragraphs>8</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4538</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Leviticus Chapter 6</dc:title>
  <dc:subject/>
  <dc:creator>David Waterson</dc:creator>
  <cp:keywords/>
  <dc:description/>
  <cp:lastModifiedBy>David Waterson</cp:lastModifiedBy>
  <cp:revision>3</cp:revision>
  <dcterms:created xsi:type="dcterms:W3CDTF">2019-08-04T13:57:00Z</dcterms:created>
  <dcterms:modified xsi:type="dcterms:W3CDTF">2019-08-04T13:57:00Z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Leviticus 06.docx</vt:lpwstr>
  </property>
  <property fmtid="{D5CDD505-2E9C-101B-9397-08002B2CF9AE}" pid="9" name="_TranslationDocumentId">
    <vt:i4>19426</vt:i4>
  </property>
  <property fmtid="{D5CDD505-2E9C-101B-9397-08002B2CF9AE}" pid="10" name="_ParentPublicationName">
    <vt:lpwstr>03-Leviticus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3006</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3</vt:i4>
  </property>
  <property fmtid="{D5CDD505-2E9C-101B-9397-08002B2CF9AE}" pid="18" name="_ChapterNumber">
    <vt:i4>6</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