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78E2" w:rsidRDefault="004878E2" w:rsidP="004878E2">
      <w:pPr>
        <w:rPr>
          <w:rFonts w:eastAsia="Segoe UI" w:cs="Arial"/>
        </w:rPr>
      </w:pPr>
      <w:bookmarkStart w:id="0" w:name="_GoBack"/>
      <w:bookmarkEnd w:id="0"/>
      <w:r>
        <w:rPr>
          <w:rFonts w:eastAsia="Segoe UI" w:cs="Arial"/>
          <w:b/>
        </w:rPr>
        <w:t xml:space="preserve">12:1 </w:t>
      </w:r>
      <w:r>
        <w:rPr>
          <w:rFonts w:eastAsia="Segoe UI" w:cs="Arial"/>
        </w:rPr>
        <w:t xml:space="preserve">Jehovah went on to say to Moses: </w:t>
      </w:r>
      <w:r>
        <w:rPr>
          <w:rFonts w:eastAsia="Segoe UI" w:cs="Arial"/>
          <w:b/>
        </w:rPr>
        <w:t xml:space="preserve">2 </w:t>
      </w:r>
      <w:r>
        <w:rPr>
          <w:rFonts w:eastAsia="Segoe UI" w:cs="Arial"/>
        </w:rPr>
        <w:t>“Tell the Israelites, ‘If a woman becomes pregnant</w:t>
      </w:r>
      <w:r w:rsidR="00D66B70">
        <w:rPr>
          <w:rStyle w:val="FootnoteReference"/>
          <w:rFonts w:eastAsia="Segoe UI" w:cs="Arial"/>
        </w:rPr>
        <w:footnoteReference w:id="1"/>
      </w:r>
      <w:r>
        <w:rPr>
          <w:rFonts w:eastAsia="Segoe UI" w:cs="Arial"/>
        </w:rPr>
        <w:t xml:space="preserve"> and gives birth to a male, she will be unclean for seven days, just as she is in the days of the impurity when she is menstruating.</w:t>
      </w:r>
      <w:r w:rsidR="00D66B70">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3 </w:t>
      </w:r>
      <w:r>
        <w:rPr>
          <w:rFonts w:eastAsia="Segoe UI" w:cs="Arial"/>
        </w:rPr>
        <w:t>On the eighth day, the flesh of his foreskin will be circumcised.</w:t>
      </w:r>
      <w:r w:rsidR="00D66B70">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4 </w:t>
      </w:r>
      <w:r>
        <w:rPr>
          <w:rFonts w:eastAsia="Segoe UI" w:cs="Arial"/>
        </w:rPr>
        <w:t>She will continue cleansing herself from the blood for the next 33 days. She should not touch any holy thing, and she should not come into the holy place until she fulfills the days of her purification.</w:t>
      </w:r>
    </w:p>
    <w:p w:rsidR="004878E2" w:rsidRDefault="004878E2" w:rsidP="004878E2">
      <w:pPr>
        <w:rPr>
          <w:rFonts w:eastAsia="Segoe UI" w:cs="Arial"/>
        </w:rPr>
      </w:pPr>
      <w:r>
        <w:rPr>
          <w:rFonts w:eastAsia="Segoe UI" w:cs="Arial"/>
          <w:b/>
        </w:rPr>
        <w:t xml:space="preserve">5 </w:t>
      </w:r>
      <w:r>
        <w:rPr>
          <w:rFonts w:eastAsia="Segoe UI" w:cs="Arial"/>
        </w:rPr>
        <w:t xml:space="preserve">“‘If she should give birth to a female, she will then be unclean for 14 days, just as she would be during her menstruation. She will continue cleansing herself from the blood for the next 66 days. </w:t>
      </w:r>
      <w:r>
        <w:rPr>
          <w:rFonts w:eastAsia="Segoe UI" w:cs="Arial"/>
          <w:b/>
        </w:rPr>
        <w:t xml:space="preserve">6 </w:t>
      </w:r>
      <w:r>
        <w:rPr>
          <w:rFonts w:eastAsia="Segoe UI" w:cs="Arial"/>
        </w:rPr>
        <w:t>When the days of her purification for a son or a daughter are completed, she will bring a young ram in its first year for a burnt offering</w:t>
      </w:r>
      <w:r w:rsidR="00D66B70">
        <w:rPr>
          <w:rStyle w:val="EndnoteReference"/>
          <w:rFonts w:eastAsia="Segoe UI" w:cs="Arial"/>
        </w:rPr>
        <w:endnoteReference w:id="3"/>
      </w:r>
      <w:r>
        <w:rPr>
          <w:rFonts w:eastAsia="Segoe UI" w:cs="Arial"/>
        </w:rPr>
        <w:t xml:space="preserve"> and a young pigeon or a turtledove for a sin offering to the entrance of the tent of meeting, to the priest. </w:t>
      </w:r>
      <w:r>
        <w:rPr>
          <w:rFonts w:eastAsia="Segoe UI" w:cs="Arial"/>
          <w:b/>
        </w:rPr>
        <w:t xml:space="preserve">7 </w:t>
      </w:r>
      <w:r>
        <w:rPr>
          <w:rFonts w:eastAsia="Segoe UI" w:cs="Arial"/>
        </w:rPr>
        <w:t xml:space="preserve">He will present it before Jehovah and make atonement for her, and she will be clean from her flow of blood. This is the law about the woman who gives birth to either a male or a female. </w:t>
      </w:r>
      <w:r>
        <w:rPr>
          <w:rFonts w:eastAsia="Segoe UI" w:cs="Arial"/>
          <w:b/>
        </w:rPr>
        <w:t xml:space="preserve">8 </w:t>
      </w:r>
      <w:r>
        <w:rPr>
          <w:rFonts w:eastAsia="Segoe UI" w:cs="Arial"/>
        </w:rPr>
        <w:t>But if she cannot afford a sheep, she must then take two turtledoves or two young pigeons,</w:t>
      </w:r>
      <w:r w:rsidR="00D66B70">
        <w:rPr>
          <w:rStyle w:val="EndnoteReference"/>
          <w:rFonts w:eastAsia="Segoe UI" w:cs="Arial"/>
        </w:rPr>
        <w:endnoteReference w:id="4"/>
      </w:r>
      <w:r>
        <w:rPr>
          <w:rFonts w:eastAsia="Segoe UI" w:cs="Arial"/>
        </w:rPr>
        <w:t xml:space="preserve"> one for a burnt offering and one for a sin offering, and the priest will make atonement for her, and she will be clean.’”</w:t>
      </w:r>
    </w:p>
    <w:p w:rsidR="00762BCB" w:rsidRPr="004878E2" w:rsidRDefault="00762BCB" w:rsidP="004878E2"/>
    <w:sectPr w:rsidR="00762BCB" w:rsidRPr="004878E2"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373B" w:rsidRDefault="0090373B">
      <w:r>
        <w:separator/>
      </w:r>
    </w:p>
  </w:endnote>
  <w:endnote w:type="continuationSeparator" w:id="0">
    <w:p w:rsidR="0090373B" w:rsidRDefault="0090373B">
      <w:r>
        <w:continuationSeparator/>
      </w:r>
    </w:p>
  </w:endnote>
  <w:endnote w:id="1">
    <w:p w:rsidR="00D66B70" w:rsidRDefault="00D66B70">
      <w:pPr>
        <w:pStyle w:val="EndnoteText"/>
      </w:pPr>
      <w:r>
        <w:rPr>
          <w:rStyle w:val="EndnoteReference"/>
        </w:rPr>
        <w:endnoteRef/>
      </w:r>
      <w:r>
        <w:t xml:space="preserve"> Leviticus 15:19</w:t>
      </w:r>
    </w:p>
  </w:endnote>
  <w:endnote w:id="2">
    <w:p w:rsidR="00D66B70" w:rsidRDefault="00D66B70">
      <w:pPr>
        <w:pStyle w:val="EndnoteText"/>
      </w:pPr>
      <w:r>
        <w:rPr>
          <w:rStyle w:val="EndnoteReference"/>
        </w:rPr>
        <w:endnoteRef/>
      </w:r>
      <w:r>
        <w:t xml:space="preserve"> Genesis 17:12; 21:4; Luke 1:59; 2:21, 22; John 7:22</w:t>
      </w:r>
    </w:p>
  </w:endnote>
  <w:endnote w:id="3">
    <w:p w:rsidR="00D66B70" w:rsidRDefault="00D66B70">
      <w:pPr>
        <w:pStyle w:val="EndnoteText"/>
      </w:pPr>
      <w:r>
        <w:rPr>
          <w:rStyle w:val="EndnoteReference"/>
        </w:rPr>
        <w:endnoteRef/>
      </w:r>
      <w:r>
        <w:t xml:space="preserve"> Leviticus 1:10</w:t>
      </w:r>
    </w:p>
  </w:endnote>
  <w:endnote w:id="4">
    <w:p w:rsidR="00D66B70" w:rsidRDefault="00D66B70">
      <w:pPr>
        <w:pStyle w:val="EndnoteText"/>
      </w:pPr>
      <w:r>
        <w:rPr>
          <w:rStyle w:val="EndnoteReference"/>
        </w:rPr>
        <w:endnoteRef/>
      </w:r>
      <w:r>
        <w:t xml:space="preserve"> Leviticus 1:14; 5:7; 14:21, 22; Luke 2:24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373B" w:rsidRDefault="0090373B">
      <w:r>
        <w:separator/>
      </w:r>
    </w:p>
  </w:footnote>
  <w:footnote w:type="continuationSeparator" w:id="0">
    <w:p w:rsidR="0090373B" w:rsidRDefault="0090373B">
      <w:r>
        <w:continuationSeparator/>
      </w:r>
    </w:p>
  </w:footnote>
  <w:footnote w:id="1">
    <w:p w:rsidR="00D66B70" w:rsidRDefault="00D66B70">
      <w:pPr>
        <w:pStyle w:val="FootnoteText"/>
      </w:pPr>
      <w:r>
        <w:rPr>
          <w:rStyle w:val="FootnoteReference"/>
        </w:rPr>
        <w:footnoteRef/>
      </w:r>
      <w:r>
        <w:t xml:space="preserve"> </w:t>
      </w:r>
      <w:r>
        <w:t>Or “conceives seed.”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D66B70">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D66B70">
        <w:t>Leviticus Chapter 12</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D66B70">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D66B70">
      <w:rPr>
        <w:noProof/>
        <w:snapToGrid w:val="0"/>
      </w:rPr>
      <w:t>Leviticus 12.Advisor.docx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D66B70">
        <w:t>Leviticus Chapter 12</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D66B70">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D66B70">
      <w:rPr>
        <w:noProof/>
        <w:snapToGrid w:val="0"/>
      </w:rPr>
      <w:t>Leviticus 12.Advisor.docx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D66B70">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D66B70">
      <w:t>&lt;not set&gt;</w:t>
    </w:r>
    <w:r>
      <w:fldChar w:fldCharType="end"/>
    </w:r>
    <w:r>
      <w:tab/>
      <w:t xml:space="preserve">Checker: </w:t>
    </w:r>
    <w:r>
      <w:fldChar w:fldCharType="begin"/>
    </w:r>
    <w:r>
      <w:instrText xml:space="preserve"> DOCPROPERTY "_RoleChecker" </w:instrText>
    </w:r>
    <w:r>
      <w:fldChar w:fldCharType="separate"/>
    </w:r>
    <w:r w:rsidR="00D66B70">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D66B7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373B"/>
    <w:rsid w:val="00245EDD"/>
    <w:rsid w:val="0026230D"/>
    <w:rsid w:val="002B524D"/>
    <w:rsid w:val="002C00A8"/>
    <w:rsid w:val="00310508"/>
    <w:rsid w:val="003B380B"/>
    <w:rsid w:val="004500A2"/>
    <w:rsid w:val="004878E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0373B"/>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6B70"/>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a1fb7375012b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D66B70"/>
    <w:pPr>
      <w:spacing w:line="240" w:lineRule="auto"/>
    </w:pPr>
    <w:rPr>
      <w:sz w:val="20"/>
      <w:szCs w:val="20"/>
    </w:rPr>
  </w:style>
  <w:style w:type="character" w:customStyle="1" w:styleId="FootnoteTextChar">
    <w:name w:val="Footnote Text Char"/>
    <w:basedOn w:val="DefaultParagraphFont"/>
    <w:link w:val="FootnoteText"/>
    <w:rsid w:val="00D66B70"/>
    <w:rPr>
      <w:rFonts w:ascii="Arial" w:eastAsia="Times New Roman" w:hAnsi="Arial" w:cs="Latha"/>
      <w:lang w:val="en-US" w:eastAsia="en-US" w:bidi="ta-IN"/>
    </w:rPr>
  </w:style>
  <w:style w:type="character" w:styleId="FootnoteReference">
    <w:name w:val="footnote reference"/>
    <w:basedOn w:val="DefaultParagraphFont"/>
    <w:rsid w:val="00D66B70"/>
    <w:rPr>
      <w:vertAlign w:val="superscript"/>
    </w:rPr>
  </w:style>
  <w:style w:type="paragraph" w:styleId="EndnoteText">
    <w:name w:val="endnote text"/>
    <w:basedOn w:val="Normal"/>
    <w:link w:val="EndnoteTextChar"/>
    <w:rsid w:val="00D66B70"/>
    <w:pPr>
      <w:spacing w:line="240" w:lineRule="auto"/>
    </w:pPr>
    <w:rPr>
      <w:sz w:val="20"/>
      <w:szCs w:val="20"/>
    </w:rPr>
  </w:style>
  <w:style w:type="character" w:customStyle="1" w:styleId="EndnoteTextChar">
    <w:name w:val="Endnote Text Char"/>
    <w:basedOn w:val="DefaultParagraphFont"/>
    <w:link w:val="EndnoteText"/>
    <w:rsid w:val="00D66B70"/>
    <w:rPr>
      <w:rFonts w:ascii="Arial" w:eastAsia="Times New Roman" w:hAnsi="Arial" w:cs="Latha"/>
      <w:lang w:val="en-US" w:eastAsia="en-US" w:bidi="ta-IN"/>
    </w:rPr>
  </w:style>
  <w:style w:type="character" w:styleId="EndnoteReference">
    <w:name w:val="endnote reference"/>
    <w:basedOn w:val="DefaultParagraphFont"/>
    <w:rsid w:val="00D66B7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D66B70"/>
    <w:pPr>
      <w:spacing w:line="240" w:lineRule="auto"/>
    </w:pPr>
    <w:rPr>
      <w:sz w:val="20"/>
      <w:szCs w:val="20"/>
    </w:rPr>
  </w:style>
  <w:style w:type="character" w:customStyle="1" w:styleId="FootnoteTextChar">
    <w:name w:val="Footnote Text Char"/>
    <w:basedOn w:val="DefaultParagraphFont"/>
    <w:link w:val="FootnoteText"/>
    <w:rsid w:val="00D66B70"/>
    <w:rPr>
      <w:rFonts w:ascii="Arial" w:eastAsia="Times New Roman" w:hAnsi="Arial" w:cs="Latha"/>
      <w:lang w:val="en-US" w:eastAsia="en-US" w:bidi="ta-IN"/>
    </w:rPr>
  </w:style>
  <w:style w:type="character" w:styleId="FootnoteReference">
    <w:name w:val="footnote reference"/>
    <w:basedOn w:val="DefaultParagraphFont"/>
    <w:rsid w:val="00D66B70"/>
    <w:rPr>
      <w:vertAlign w:val="superscript"/>
    </w:rPr>
  </w:style>
  <w:style w:type="paragraph" w:styleId="EndnoteText">
    <w:name w:val="endnote text"/>
    <w:basedOn w:val="Normal"/>
    <w:link w:val="EndnoteTextChar"/>
    <w:rsid w:val="00D66B70"/>
    <w:pPr>
      <w:spacing w:line="240" w:lineRule="auto"/>
    </w:pPr>
    <w:rPr>
      <w:sz w:val="20"/>
      <w:szCs w:val="20"/>
    </w:rPr>
  </w:style>
  <w:style w:type="character" w:customStyle="1" w:styleId="EndnoteTextChar">
    <w:name w:val="Endnote Text Char"/>
    <w:basedOn w:val="DefaultParagraphFont"/>
    <w:link w:val="EndnoteText"/>
    <w:rsid w:val="00D66B70"/>
    <w:rPr>
      <w:rFonts w:ascii="Arial" w:eastAsia="Times New Roman" w:hAnsi="Arial" w:cs="Latha"/>
      <w:lang w:val="en-US" w:eastAsia="en-US" w:bidi="ta-IN"/>
    </w:rPr>
  </w:style>
  <w:style w:type="character" w:styleId="EndnoteReference">
    <w:name w:val="endnote reference"/>
    <w:basedOn w:val="DefaultParagraphFont"/>
    <w:rsid w:val="00D66B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a1fb7375012b43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265</ap:Words>
  <ap:Characters>1089</ap:Characters>
  <ap:Application>Microsoft Office Word</ap:Application>
  <ap:DocSecurity>0</ap:DocSecurity>
  <ap:Lines>17</ap:Lines>
  <ap:Paragraphs>2</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1352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12</dc:title>
  <dc:subject/>
  <dc:creator>David Waterson</dc:creator>
  <cp:keywords/>
  <dc:description/>
  <cp:lastModifiedBy>David Waterson</cp:lastModifiedBy>
  <cp:revision>3</cp:revision>
  <dcterms:created xsi:type="dcterms:W3CDTF">2019-08-04T13:59:00Z</dcterms:created>
  <dcterms:modified xsi:type="dcterms:W3CDTF">2019-08-04T13:59:00Z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12.docx</vt:lpwstr>
  </property>
  <property fmtid="{D5CDD505-2E9C-101B-9397-08002B2CF9AE}" pid="9" name="_TranslationDocumentId">
    <vt:i4>19432</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3012</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12</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