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C1A4C" w:rsidRDefault="002C1A4C" w:rsidP="002C1A4C">
      <w:pPr>
        <w:rPr>
          <w:rFonts w:eastAsia="Segoe UI" w:cs="Arial"/>
        </w:rPr>
      </w:pPr>
      <w:bookmarkStart w:id="0" w:name="_GoBack"/>
      <w:bookmarkEnd w:id="0"/>
      <w:r>
        <w:rPr>
          <w:rFonts w:eastAsia="Segoe UI" w:cs="Arial"/>
          <w:b/>
        </w:rPr>
        <w:t xml:space="preserve">24:1 </w:t>
      </w:r>
      <w:r>
        <w:rPr>
          <w:rFonts w:eastAsia="Segoe UI" w:cs="Arial"/>
        </w:rPr>
        <w:t xml:space="preserve">Jehovah continued to speak to Moses, saying: </w:t>
      </w:r>
      <w:r>
        <w:rPr>
          <w:rFonts w:eastAsia="Segoe UI" w:cs="Arial"/>
          <w:b/>
        </w:rPr>
        <w:t xml:space="preserve">2 </w:t>
      </w:r>
      <w:r>
        <w:rPr>
          <w:rFonts w:eastAsia="Segoe UI" w:cs="Arial"/>
        </w:rPr>
        <w:t>“Command the Israelites to bring to you pure, beaten olive oil for the lights, to keep the lamps lit constantly.</w:t>
      </w:r>
      <w:r w:rsidR="00AA24BD">
        <w:rPr>
          <w:rStyle w:val="EndnoteReference"/>
          <w:rFonts w:eastAsia="Segoe UI" w:cs="Arial"/>
        </w:rPr>
        <w:endnoteReference w:id="1"/>
      </w:r>
      <w:r>
        <w:rPr>
          <w:rFonts w:ascii="MEPS Bookman WTS" w:eastAsia="Segoe UI" w:hAnsi="MEPS Bookman WTS" w:cs="Segoe UI"/>
        </w:rPr>
        <w:t xml:space="preserve"> </w:t>
      </w:r>
      <w:r>
        <w:rPr>
          <w:rFonts w:eastAsia="Segoe UI" w:cs="Arial"/>
          <w:b/>
        </w:rPr>
        <w:t xml:space="preserve">3 </w:t>
      </w:r>
      <w:r>
        <w:rPr>
          <w:rFonts w:eastAsia="Segoe UI" w:cs="Arial"/>
        </w:rPr>
        <w:t xml:space="preserve">Outside the curtain of the Testimony in the tent of meeting, Aaron should arrange to keep the lamps lit from evening to morning before Jehovah constantly. It is a permanent statute for all your generations. </w:t>
      </w:r>
      <w:r>
        <w:rPr>
          <w:rFonts w:eastAsia="Segoe UI" w:cs="Arial"/>
          <w:b/>
        </w:rPr>
        <w:t xml:space="preserve">4 </w:t>
      </w:r>
      <w:r>
        <w:rPr>
          <w:rFonts w:eastAsia="Segoe UI" w:cs="Arial"/>
        </w:rPr>
        <w:t>He should set the lamps in order on the lampstand</w:t>
      </w:r>
      <w:r w:rsidR="00AA24BD">
        <w:rPr>
          <w:rStyle w:val="EndnoteReference"/>
          <w:rFonts w:eastAsia="Segoe UI" w:cs="Arial"/>
        </w:rPr>
        <w:endnoteReference w:id="2"/>
      </w:r>
      <w:r>
        <w:rPr>
          <w:rFonts w:eastAsia="Segoe UI" w:cs="Arial"/>
        </w:rPr>
        <w:t xml:space="preserve"> of pure gold before Jehovah constantly.</w:t>
      </w:r>
    </w:p>
    <w:p w:rsidR="002C1A4C" w:rsidRDefault="002C1A4C" w:rsidP="002C1A4C">
      <w:pPr>
        <w:rPr>
          <w:rFonts w:eastAsia="Segoe UI" w:cs="Arial"/>
        </w:rPr>
      </w:pPr>
      <w:r>
        <w:rPr>
          <w:rFonts w:eastAsia="Segoe UI" w:cs="Arial"/>
          <w:b/>
        </w:rPr>
        <w:t xml:space="preserve">5 </w:t>
      </w:r>
      <w:r>
        <w:rPr>
          <w:rFonts w:eastAsia="Segoe UI" w:cs="Arial"/>
        </w:rPr>
        <w:t>“You will take fine flour and bake it into 12 ring-shaped loaves. Two tenths of an e′phah</w:t>
      </w:r>
      <w:r w:rsidR="00AA24BD">
        <w:rPr>
          <w:rStyle w:val="FootnoteReference"/>
          <w:rFonts w:eastAsia="Segoe UI" w:cs="Arial"/>
        </w:rPr>
        <w:footnoteReference w:id="1"/>
      </w:r>
      <w:r>
        <w:rPr>
          <w:rFonts w:eastAsia="Segoe UI" w:cs="Arial"/>
        </w:rPr>
        <w:t xml:space="preserve"> should go into each loaf. </w:t>
      </w:r>
      <w:r>
        <w:rPr>
          <w:rFonts w:eastAsia="Segoe UI" w:cs="Arial"/>
          <w:b/>
        </w:rPr>
        <w:t xml:space="preserve">6 </w:t>
      </w:r>
      <w:r>
        <w:rPr>
          <w:rFonts w:eastAsia="Segoe UI" w:cs="Arial"/>
        </w:rPr>
        <w:t>You will place them in two sets of layers, six to the layer set,</w:t>
      </w:r>
      <w:r w:rsidR="00AA24BD">
        <w:rPr>
          <w:rStyle w:val="EndnoteReference"/>
          <w:rFonts w:eastAsia="Segoe UI" w:cs="Arial"/>
        </w:rPr>
        <w:endnoteReference w:id="3"/>
      </w:r>
      <w:r>
        <w:rPr>
          <w:rFonts w:eastAsia="Segoe UI" w:cs="Arial"/>
        </w:rPr>
        <w:t xml:space="preserve"> on the table of pure gold before Jehovah.</w:t>
      </w:r>
      <w:r w:rsidR="00AA24BD">
        <w:rPr>
          <w:rStyle w:val="EndnoteReference"/>
          <w:rFonts w:eastAsia="Segoe UI" w:cs="Arial"/>
        </w:rPr>
        <w:endnoteReference w:id="4"/>
      </w:r>
      <w:r>
        <w:rPr>
          <w:rFonts w:ascii="MEPS Bookman WTS" w:eastAsia="Segoe UI" w:hAnsi="MEPS Bookman WTS" w:cs="Segoe UI"/>
        </w:rPr>
        <w:t xml:space="preserve"> </w:t>
      </w:r>
      <w:r>
        <w:rPr>
          <w:rFonts w:eastAsia="Segoe UI" w:cs="Arial"/>
          <w:b/>
        </w:rPr>
        <w:t xml:space="preserve">7 </w:t>
      </w:r>
      <w:r>
        <w:rPr>
          <w:rFonts w:eastAsia="Segoe UI" w:cs="Arial"/>
        </w:rPr>
        <w:t>You should put pure frankincense on each layer set, and it will serve as the bread for a token offering</w:t>
      </w:r>
      <w:r w:rsidR="00AA24BD">
        <w:rPr>
          <w:rStyle w:val="FootnoteReference"/>
          <w:rFonts w:eastAsia="Segoe UI" w:cs="Arial"/>
        </w:rPr>
        <w:footnoteReference w:id="2"/>
      </w:r>
      <w:r w:rsidR="00AA24BD">
        <w:rPr>
          <w:rStyle w:val="EndnoteReference"/>
          <w:rFonts w:eastAsia="Segoe UI" w:cs="Arial"/>
        </w:rPr>
        <w:endnoteReference w:id="5"/>
      </w:r>
      <w:r>
        <w:rPr>
          <w:rFonts w:eastAsia="Segoe UI" w:cs="Arial"/>
        </w:rPr>
        <w:t xml:space="preserve"> made by fire to Jehovah. </w:t>
      </w:r>
      <w:r>
        <w:rPr>
          <w:rFonts w:eastAsia="Segoe UI" w:cs="Arial"/>
          <w:b/>
        </w:rPr>
        <w:t xml:space="preserve">8 </w:t>
      </w:r>
      <w:r>
        <w:rPr>
          <w:rFonts w:eastAsia="Segoe UI" w:cs="Arial"/>
        </w:rPr>
        <w:t>On each Sabbath day, he should regularly arrange it before Jehovah.</w:t>
      </w:r>
      <w:r w:rsidR="00AA24BD">
        <w:rPr>
          <w:rStyle w:val="EndnoteReference"/>
          <w:rFonts w:eastAsia="Segoe UI" w:cs="Arial"/>
        </w:rPr>
        <w:endnoteReference w:id="6"/>
      </w:r>
      <w:r>
        <w:rPr>
          <w:rFonts w:eastAsia="Segoe UI" w:cs="Arial"/>
        </w:rPr>
        <w:t xml:space="preserve"> It is a lasting covenant with the Israelites. </w:t>
      </w:r>
      <w:r>
        <w:rPr>
          <w:rFonts w:eastAsia="Segoe UI" w:cs="Arial"/>
          <w:b/>
        </w:rPr>
        <w:t xml:space="preserve">9 </w:t>
      </w:r>
      <w:r>
        <w:rPr>
          <w:rFonts w:eastAsia="Segoe UI" w:cs="Arial"/>
        </w:rPr>
        <w:t>It will become Aaron’s and his sons’,</w:t>
      </w:r>
      <w:r w:rsidR="00AA24BD">
        <w:rPr>
          <w:rStyle w:val="EndnoteReference"/>
          <w:rFonts w:eastAsia="Segoe UI" w:cs="Arial"/>
        </w:rPr>
        <w:endnoteReference w:id="7"/>
      </w:r>
      <w:r>
        <w:rPr>
          <w:rFonts w:eastAsia="Segoe UI" w:cs="Arial"/>
        </w:rPr>
        <w:t xml:space="preserve"> and they will eat it in a holy place,</w:t>
      </w:r>
      <w:r w:rsidR="00AA24BD">
        <w:rPr>
          <w:rStyle w:val="EndnoteReference"/>
          <w:rFonts w:eastAsia="Segoe UI" w:cs="Arial"/>
        </w:rPr>
        <w:endnoteReference w:id="8"/>
      </w:r>
      <w:r>
        <w:rPr>
          <w:rFonts w:eastAsia="Segoe UI" w:cs="Arial"/>
        </w:rPr>
        <w:t xml:space="preserve"> because it is something most holy for him from Jehovah’s offerings made by fire, as a lasting regulation.”</w:t>
      </w:r>
    </w:p>
    <w:p w:rsidR="002C1A4C" w:rsidRDefault="002C1A4C" w:rsidP="002C1A4C">
      <w:pPr>
        <w:rPr>
          <w:rFonts w:ascii="MEPS Bookman WTS" w:eastAsia="Segoe UI" w:hAnsi="MEPS Bookman WTS" w:cs="Segoe UI"/>
        </w:rPr>
      </w:pPr>
      <w:r>
        <w:rPr>
          <w:rFonts w:eastAsia="Segoe UI" w:cs="Arial"/>
          <w:b/>
        </w:rPr>
        <w:t xml:space="preserve">10 </w:t>
      </w:r>
      <w:r>
        <w:rPr>
          <w:rFonts w:eastAsia="Segoe UI" w:cs="Arial"/>
        </w:rPr>
        <w:t>Now among the Israelites was a son of an Israelite woman and an Egyptian man,</w:t>
      </w:r>
      <w:r w:rsidR="00AA24BD">
        <w:rPr>
          <w:rStyle w:val="EndnoteReference"/>
          <w:rFonts w:eastAsia="Segoe UI" w:cs="Arial"/>
        </w:rPr>
        <w:endnoteReference w:id="9"/>
      </w:r>
      <w:r>
        <w:rPr>
          <w:rFonts w:eastAsia="Segoe UI" w:cs="Arial"/>
        </w:rPr>
        <w:t xml:space="preserve"> and a fight broke out between him and an Israelite man in the camp. </w:t>
      </w:r>
      <w:r>
        <w:rPr>
          <w:rFonts w:eastAsia="Segoe UI" w:cs="Arial"/>
          <w:b/>
        </w:rPr>
        <w:t xml:space="preserve">11 </w:t>
      </w:r>
      <w:r>
        <w:rPr>
          <w:rFonts w:eastAsia="Segoe UI" w:cs="Arial"/>
        </w:rPr>
        <w:t>The son of the Israelite woman began to abuse the Name</w:t>
      </w:r>
      <w:r w:rsidR="00AA24BD">
        <w:rPr>
          <w:rStyle w:val="FootnoteReference"/>
          <w:rFonts w:eastAsia="Segoe UI" w:cs="Arial"/>
        </w:rPr>
        <w:footnoteReference w:id="3"/>
      </w:r>
      <w:r>
        <w:rPr>
          <w:rFonts w:eastAsia="Segoe UI" w:cs="Arial"/>
        </w:rPr>
        <w:t xml:space="preserve"> and to curse</w:t>
      </w:r>
      <w:r w:rsidR="00AA24BD">
        <w:rPr>
          <w:rStyle w:val="FootnoteReference"/>
          <w:rFonts w:eastAsia="Segoe UI" w:cs="Arial"/>
        </w:rPr>
        <w:footnoteReference w:id="4"/>
      </w:r>
      <w:r>
        <w:rPr>
          <w:rFonts w:eastAsia="Segoe UI" w:cs="Arial"/>
        </w:rPr>
        <w:t xml:space="preserve"> it.</w:t>
      </w:r>
      <w:r w:rsidR="00AA24BD">
        <w:rPr>
          <w:rStyle w:val="EndnoteReference"/>
          <w:rFonts w:eastAsia="Segoe UI" w:cs="Arial"/>
        </w:rPr>
        <w:endnoteReference w:id="10"/>
      </w:r>
      <w:r>
        <w:rPr>
          <w:rFonts w:eastAsia="Segoe UI" w:cs="Arial"/>
        </w:rPr>
        <w:t xml:space="preserve"> So they brought him to Moses.</w:t>
      </w:r>
      <w:r w:rsidR="00AA24BD">
        <w:rPr>
          <w:rStyle w:val="EndnoteReference"/>
          <w:rFonts w:eastAsia="Segoe UI" w:cs="Arial"/>
        </w:rPr>
        <w:endnoteReference w:id="11"/>
      </w:r>
      <w:r>
        <w:rPr>
          <w:rFonts w:eastAsia="Segoe UI" w:cs="Arial"/>
        </w:rPr>
        <w:t xml:space="preserve"> Incidentally, his mother was She·lo′mith, the daughter of Dib′ri of the tribe of Dan. </w:t>
      </w:r>
      <w:r>
        <w:rPr>
          <w:rFonts w:eastAsia="Segoe UI" w:cs="Arial"/>
          <w:b/>
        </w:rPr>
        <w:t xml:space="preserve">12 </w:t>
      </w:r>
      <w:r>
        <w:rPr>
          <w:rFonts w:eastAsia="Segoe UI" w:cs="Arial"/>
        </w:rPr>
        <w:t>They placed him in custody until Jehovah’s decision was made clear to them.</w:t>
      </w:r>
      <w:r w:rsidR="00AA24BD">
        <w:rPr>
          <w:rStyle w:val="EndnoteReference"/>
          <w:rFonts w:eastAsia="Segoe UI" w:cs="Arial"/>
        </w:rPr>
        <w:endnoteReference w:id="12"/>
      </w:r>
    </w:p>
    <w:p w:rsidR="002C1A4C" w:rsidRDefault="002C1A4C" w:rsidP="002C1A4C">
      <w:pPr>
        <w:rPr>
          <w:rFonts w:eastAsia="Segoe UI" w:cs="Arial"/>
        </w:rPr>
      </w:pPr>
      <w:r>
        <w:rPr>
          <w:rFonts w:eastAsia="Segoe UI" w:cs="Arial"/>
          <w:b/>
        </w:rPr>
        <w:t xml:space="preserve">13 </w:t>
      </w:r>
      <w:r>
        <w:rPr>
          <w:rFonts w:eastAsia="Segoe UI" w:cs="Arial"/>
        </w:rPr>
        <w:t xml:space="preserve">Then Jehovah said to Moses: </w:t>
      </w:r>
      <w:r>
        <w:rPr>
          <w:rFonts w:eastAsia="Segoe UI" w:cs="Arial"/>
          <w:b/>
        </w:rPr>
        <w:t xml:space="preserve">14 </w:t>
      </w:r>
      <w:r>
        <w:rPr>
          <w:rFonts w:eastAsia="Segoe UI" w:cs="Arial"/>
        </w:rPr>
        <w:t>“Bring the one who cursed to the outside of the camp, and all those who heard him must lay their hands on his head, and then the entire assembly must stone him.</w:t>
      </w:r>
      <w:r w:rsidR="00AA24BD">
        <w:rPr>
          <w:rStyle w:val="EndnoteReference"/>
          <w:rFonts w:eastAsia="Segoe UI" w:cs="Arial"/>
        </w:rPr>
        <w:endnoteReference w:id="13"/>
      </w:r>
      <w:r>
        <w:rPr>
          <w:rFonts w:ascii="MEPS Bookman WTS" w:eastAsia="Segoe UI" w:hAnsi="MEPS Bookman WTS" w:cs="Segoe UI"/>
        </w:rPr>
        <w:t xml:space="preserve"> </w:t>
      </w:r>
      <w:r>
        <w:rPr>
          <w:rFonts w:eastAsia="Segoe UI" w:cs="Arial"/>
          <w:b/>
        </w:rPr>
        <w:t xml:space="preserve">15 </w:t>
      </w:r>
      <w:r>
        <w:rPr>
          <w:rFonts w:eastAsia="Segoe UI" w:cs="Arial"/>
        </w:rPr>
        <w:t xml:space="preserve">And you should tell the Israelites, ‘If any man curses his God, he will answer for his sin. </w:t>
      </w:r>
      <w:r>
        <w:rPr>
          <w:rFonts w:eastAsia="Segoe UI" w:cs="Arial"/>
          <w:b/>
        </w:rPr>
        <w:t xml:space="preserve">16 </w:t>
      </w:r>
      <w:r>
        <w:rPr>
          <w:rFonts w:eastAsia="Segoe UI" w:cs="Arial"/>
        </w:rPr>
        <w:t>So the abuser of Jehovah’s name should be put to death without fail.</w:t>
      </w:r>
      <w:r w:rsidR="00AA24BD">
        <w:rPr>
          <w:rStyle w:val="EndnoteReference"/>
          <w:rFonts w:eastAsia="Segoe UI" w:cs="Arial"/>
        </w:rPr>
        <w:endnoteReference w:id="14"/>
      </w:r>
      <w:r>
        <w:rPr>
          <w:rFonts w:eastAsia="Segoe UI" w:cs="Arial"/>
        </w:rPr>
        <w:t xml:space="preserve"> The entire assembly should stone him without fail. The foreign resident should be put to death the same as the native for his abusing the Name.</w:t>
      </w:r>
    </w:p>
    <w:p w:rsidR="002C1A4C" w:rsidRDefault="002C1A4C" w:rsidP="002C1A4C">
      <w:pPr>
        <w:rPr>
          <w:rFonts w:ascii="MEPS Bookman WTS" w:eastAsia="Segoe UI" w:hAnsi="MEPS Bookman WTS" w:cs="Segoe UI"/>
        </w:rPr>
      </w:pPr>
      <w:r>
        <w:rPr>
          <w:rFonts w:eastAsia="Segoe UI" w:cs="Arial"/>
          <w:b/>
        </w:rPr>
        <w:t xml:space="preserve">17 </w:t>
      </w:r>
      <w:r>
        <w:rPr>
          <w:rFonts w:eastAsia="Segoe UI" w:cs="Arial"/>
        </w:rPr>
        <w:t>“‘If a man takes a human life,</w:t>
      </w:r>
      <w:r w:rsidR="00AA24BD">
        <w:rPr>
          <w:rStyle w:val="FootnoteReference"/>
          <w:rFonts w:eastAsia="Segoe UI" w:cs="Arial"/>
        </w:rPr>
        <w:footnoteReference w:id="5"/>
      </w:r>
      <w:r>
        <w:rPr>
          <w:rFonts w:eastAsia="Segoe UI" w:cs="Arial"/>
        </w:rPr>
        <w:t xml:space="preserve"> he should be put to death without fail.</w:t>
      </w:r>
      <w:r w:rsidR="00AA24BD">
        <w:rPr>
          <w:rStyle w:val="EndnoteReference"/>
          <w:rFonts w:eastAsia="Segoe UI" w:cs="Arial"/>
        </w:rPr>
        <w:endnoteReference w:id="15"/>
      </w:r>
      <w:r>
        <w:rPr>
          <w:rFonts w:ascii="MEPS Bookman WTS" w:eastAsia="Segoe UI" w:hAnsi="MEPS Bookman WTS" w:cs="Segoe UI"/>
        </w:rPr>
        <w:t xml:space="preserve"> </w:t>
      </w:r>
      <w:r>
        <w:rPr>
          <w:rFonts w:eastAsia="Segoe UI" w:cs="Arial"/>
          <w:b/>
        </w:rPr>
        <w:t xml:space="preserve">18 </w:t>
      </w:r>
      <w:r>
        <w:rPr>
          <w:rFonts w:eastAsia="Segoe UI" w:cs="Arial"/>
        </w:rPr>
        <w:t>Anyone who strikes and kills a domestic animal</w:t>
      </w:r>
      <w:r w:rsidR="00AA24BD">
        <w:rPr>
          <w:rStyle w:val="FootnoteReference"/>
          <w:rFonts w:eastAsia="Segoe UI" w:cs="Arial"/>
        </w:rPr>
        <w:footnoteReference w:id="6"/>
      </w:r>
      <w:r>
        <w:rPr>
          <w:rFonts w:eastAsia="Segoe UI" w:cs="Arial"/>
        </w:rPr>
        <w:t xml:space="preserve"> should make compensation for it, life for life.</w:t>
      </w:r>
      <w:r w:rsidR="00AA24BD">
        <w:rPr>
          <w:rStyle w:val="FootnoteReference"/>
          <w:rFonts w:eastAsia="Segoe UI" w:cs="Arial"/>
        </w:rPr>
        <w:footnoteReference w:id="7"/>
      </w:r>
      <w:r>
        <w:rPr>
          <w:rFonts w:ascii="MEPS Bookman WTS" w:eastAsia="Segoe UI" w:hAnsi="MEPS Bookman WTS" w:cs="Segoe UI"/>
        </w:rPr>
        <w:t xml:space="preserve"> </w:t>
      </w:r>
      <w:r>
        <w:rPr>
          <w:rFonts w:eastAsia="Segoe UI" w:cs="Arial"/>
          <w:b/>
        </w:rPr>
        <w:t xml:space="preserve">19 </w:t>
      </w:r>
      <w:r>
        <w:rPr>
          <w:rFonts w:eastAsia="Segoe UI" w:cs="Arial"/>
        </w:rPr>
        <w:t>If a man injures his fellow man, then what he has done should be done to him.</w:t>
      </w:r>
      <w:r w:rsidR="00AA24BD">
        <w:rPr>
          <w:rStyle w:val="EndnoteReference"/>
          <w:rFonts w:eastAsia="Segoe UI" w:cs="Arial"/>
        </w:rPr>
        <w:endnoteReference w:id="16"/>
      </w:r>
      <w:r>
        <w:rPr>
          <w:rFonts w:ascii="MEPS Bookman WTS" w:eastAsia="Segoe UI" w:hAnsi="MEPS Bookman WTS" w:cs="Segoe UI"/>
        </w:rPr>
        <w:t xml:space="preserve"> </w:t>
      </w:r>
      <w:r>
        <w:rPr>
          <w:rFonts w:eastAsia="Segoe UI" w:cs="Arial"/>
          <w:b/>
        </w:rPr>
        <w:t xml:space="preserve">20 </w:t>
      </w:r>
      <w:r>
        <w:rPr>
          <w:rFonts w:eastAsia="Segoe UI" w:cs="Arial"/>
        </w:rPr>
        <w:t>Fracture for fracture, eye for eye, tooth for tooth, the same sort of injury he inflicted should be inflicted on him.</w:t>
      </w:r>
      <w:r w:rsidR="00AA24BD">
        <w:rPr>
          <w:rStyle w:val="EndnoteReference"/>
          <w:rFonts w:eastAsia="Segoe UI" w:cs="Arial"/>
        </w:rPr>
        <w:endnoteReference w:id="17"/>
      </w:r>
      <w:r>
        <w:rPr>
          <w:rFonts w:ascii="MEPS Bookman WTS" w:eastAsia="Segoe UI" w:hAnsi="MEPS Bookman WTS" w:cs="Segoe UI"/>
        </w:rPr>
        <w:t xml:space="preserve"> </w:t>
      </w:r>
      <w:r>
        <w:rPr>
          <w:rFonts w:eastAsia="Segoe UI" w:cs="Arial"/>
          <w:b/>
        </w:rPr>
        <w:t xml:space="preserve">21 </w:t>
      </w:r>
      <w:r>
        <w:rPr>
          <w:rFonts w:eastAsia="Segoe UI" w:cs="Arial"/>
        </w:rPr>
        <w:t>The man who strikes and kills an animal should make compensation for it,</w:t>
      </w:r>
      <w:r w:rsidR="00AA24BD">
        <w:rPr>
          <w:rStyle w:val="EndnoteReference"/>
          <w:rFonts w:eastAsia="Segoe UI" w:cs="Arial"/>
        </w:rPr>
        <w:endnoteReference w:id="18"/>
      </w:r>
      <w:r>
        <w:rPr>
          <w:rFonts w:eastAsia="Segoe UI" w:cs="Arial"/>
        </w:rPr>
        <w:t xml:space="preserve"> but the one who strikes and kills a man should be put to death.</w:t>
      </w:r>
      <w:r w:rsidR="00AA24BD">
        <w:rPr>
          <w:rStyle w:val="EndnoteReference"/>
          <w:rFonts w:eastAsia="Segoe UI" w:cs="Arial"/>
        </w:rPr>
        <w:endnoteReference w:id="19"/>
      </w:r>
    </w:p>
    <w:p w:rsidR="002C1A4C" w:rsidRDefault="002C1A4C" w:rsidP="002C1A4C">
      <w:pPr>
        <w:rPr>
          <w:rFonts w:eastAsia="Segoe UI" w:cs="Arial"/>
        </w:rPr>
      </w:pPr>
      <w:r>
        <w:rPr>
          <w:rFonts w:eastAsia="Segoe UI" w:cs="Arial"/>
          <w:b/>
        </w:rPr>
        <w:t xml:space="preserve">22 </w:t>
      </w:r>
      <w:r>
        <w:rPr>
          <w:rFonts w:eastAsia="Segoe UI" w:cs="Arial"/>
        </w:rPr>
        <w:t>“‘One judicial decision will apply for you, whether a foreign resident or a native,</w:t>
      </w:r>
      <w:r w:rsidR="00AA24BD">
        <w:rPr>
          <w:rStyle w:val="EndnoteReference"/>
          <w:rFonts w:eastAsia="Segoe UI" w:cs="Arial"/>
        </w:rPr>
        <w:endnoteReference w:id="20"/>
      </w:r>
      <w:r>
        <w:rPr>
          <w:rFonts w:eastAsia="Segoe UI" w:cs="Arial"/>
        </w:rPr>
        <w:t xml:space="preserve"> because I am Jehovah your God.’”</w:t>
      </w:r>
    </w:p>
    <w:p w:rsidR="002C1A4C" w:rsidRDefault="002C1A4C" w:rsidP="002C1A4C">
      <w:pPr>
        <w:rPr>
          <w:rFonts w:eastAsia="Segoe UI" w:cs="Arial"/>
        </w:rPr>
      </w:pPr>
      <w:r>
        <w:rPr>
          <w:rFonts w:eastAsia="Segoe UI" w:cs="Arial"/>
          <w:b/>
        </w:rPr>
        <w:t xml:space="preserve">23 </w:t>
      </w:r>
      <w:r>
        <w:rPr>
          <w:rFonts w:eastAsia="Segoe UI" w:cs="Arial"/>
        </w:rPr>
        <w:t>Moses then spoke to the Israelites, and they brought the one who uttered the curse to the outside of the camp, and they stoned him.</w:t>
      </w:r>
      <w:r w:rsidR="00AA24BD">
        <w:rPr>
          <w:rStyle w:val="EndnoteReference"/>
          <w:rFonts w:eastAsia="Segoe UI" w:cs="Arial"/>
        </w:rPr>
        <w:endnoteReference w:id="21"/>
      </w:r>
      <w:r>
        <w:rPr>
          <w:rFonts w:eastAsia="Segoe UI" w:cs="Arial"/>
        </w:rPr>
        <w:t xml:space="preserve"> Thus the Israelites did just as Jehovah had commanded Moses.</w:t>
      </w:r>
    </w:p>
    <w:p w:rsidR="00762BCB" w:rsidRPr="002C1A4C" w:rsidRDefault="00762BCB" w:rsidP="002C1A4C"/>
    <w:sectPr w:rsidR="00762BCB" w:rsidRPr="002C1A4C"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B111D" w:rsidRDefault="008B111D">
      <w:r>
        <w:separator/>
      </w:r>
    </w:p>
  </w:endnote>
  <w:endnote w:type="continuationSeparator" w:id="0">
    <w:p w:rsidR="008B111D" w:rsidRDefault="008B111D">
      <w:r>
        <w:continuationSeparator/>
      </w:r>
    </w:p>
  </w:endnote>
  <w:endnote w:id="1">
    <w:p w:rsidR="00AA24BD" w:rsidRDefault="00AA24BD">
      <w:pPr>
        <w:pStyle w:val="EndnoteText"/>
      </w:pPr>
      <w:r>
        <w:rPr>
          <w:rStyle w:val="EndnoteReference"/>
        </w:rPr>
        <w:endnoteRef/>
      </w:r>
      <w:r>
        <w:t xml:space="preserve"> Exodus 27:20, 21; Numbers 8:2</w:t>
      </w:r>
    </w:p>
  </w:endnote>
  <w:endnote w:id="2">
    <w:p w:rsidR="00AA24BD" w:rsidRDefault="00AA24BD">
      <w:pPr>
        <w:pStyle w:val="EndnoteText"/>
      </w:pPr>
      <w:r>
        <w:rPr>
          <w:rStyle w:val="EndnoteReference"/>
        </w:rPr>
        <w:endnoteRef/>
      </w:r>
      <w:r>
        <w:t xml:space="preserve"> Exodus 25:31; 39:33, 37; Hebrews 9:2</w:t>
      </w:r>
    </w:p>
  </w:endnote>
  <w:endnote w:id="3">
    <w:p w:rsidR="00AA24BD" w:rsidRDefault="00AA24BD">
      <w:pPr>
        <w:pStyle w:val="EndnoteText"/>
      </w:pPr>
      <w:r>
        <w:rPr>
          <w:rStyle w:val="EndnoteReference"/>
        </w:rPr>
        <w:endnoteRef/>
      </w:r>
      <w:r>
        <w:t xml:space="preserve"> Exodus 40:22, 23; 1 Samuel 21:4; Mark 2:25, 26</w:t>
      </w:r>
    </w:p>
  </w:endnote>
  <w:endnote w:id="4">
    <w:p w:rsidR="00AA24BD" w:rsidRDefault="00AA24BD">
      <w:pPr>
        <w:pStyle w:val="EndnoteText"/>
      </w:pPr>
      <w:r>
        <w:rPr>
          <w:rStyle w:val="EndnoteReference"/>
        </w:rPr>
        <w:endnoteRef/>
      </w:r>
      <w:r>
        <w:t xml:space="preserve"> Exodus 25:23, 24; 1 Kings 7:48</w:t>
      </w:r>
    </w:p>
  </w:endnote>
  <w:endnote w:id="5">
    <w:p w:rsidR="00AA24BD" w:rsidRDefault="00AA24BD">
      <w:pPr>
        <w:pStyle w:val="EndnoteText"/>
      </w:pPr>
      <w:r>
        <w:rPr>
          <w:rStyle w:val="EndnoteReference"/>
        </w:rPr>
        <w:endnoteRef/>
      </w:r>
      <w:r>
        <w:t xml:space="preserve"> Leviticus 2:2; 6:15</w:t>
      </w:r>
    </w:p>
  </w:endnote>
  <w:endnote w:id="6">
    <w:p w:rsidR="00AA24BD" w:rsidRDefault="00AA24BD">
      <w:pPr>
        <w:pStyle w:val="EndnoteText"/>
      </w:pPr>
      <w:r>
        <w:rPr>
          <w:rStyle w:val="EndnoteReference"/>
        </w:rPr>
        <w:endnoteRef/>
      </w:r>
      <w:r>
        <w:t xml:space="preserve"> Numbers 4:7; 1 Chronicles 9:32; 2 Chronicles 2:4</w:t>
      </w:r>
    </w:p>
  </w:endnote>
  <w:endnote w:id="7">
    <w:p w:rsidR="00AA24BD" w:rsidRDefault="00AA24BD">
      <w:pPr>
        <w:pStyle w:val="EndnoteText"/>
      </w:pPr>
      <w:r>
        <w:rPr>
          <w:rStyle w:val="EndnoteReference"/>
        </w:rPr>
        <w:endnoteRef/>
      </w:r>
      <w:r>
        <w:t xml:space="preserve"> Leviticus 21:22; 22:10; 1 Samuel 21:4, 6; Matthew 12:3, 4; Luke 6:3, 4</w:t>
      </w:r>
    </w:p>
  </w:endnote>
  <w:endnote w:id="8">
    <w:p w:rsidR="00AA24BD" w:rsidRDefault="00AA24BD">
      <w:pPr>
        <w:pStyle w:val="EndnoteText"/>
      </w:pPr>
      <w:r>
        <w:rPr>
          <w:rStyle w:val="EndnoteReference"/>
        </w:rPr>
        <w:endnoteRef/>
      </w:r>
      <w:r>
        <w:t xml:space="preserve"> Leviticus 6:14, 16</w:t>
      </w:r>
    </w:p>
  </w:endnote>
  <w:endnote w:id="9">
    <w:p w:rsidR="00AA24BD" w:rsidRDefault="00AA24BD">
      <w:pPr>
        <w:pStyle w:val="EndnoteText"/>
      </w:pPr>
      <w:r>
        <w:rPr>
          <w:rStyle w:val="EndnoteReference"/>
        </w:rPr>
        <w:endnoteRef/>
      </w:r>
      <w:r>
        <w:t xml:space="preserve"> Exodus 12:38; Numbers 11:4</w:t>
      </w:r>
    </w:p>
  </w:endnote>
  <w:endnote w:id="10">
    <w:p w:rsidR="00AA24BD" w:rsidRDefault="00AA24BD">
      <w:pPr>
        <w:pStyle w:val="EndnoteText"/>
      </w:pPr>
      <w:r>
        <w:rPr>
          <w:rStyle w:val="EndnoteReference"/>
        </w:rPr>
        <w:endnoteRef/>
      </w:r>
      <w:r>
        <w:t xml:space="preserve"> Exodus 20:7; 22:28; Leviticus 19:12</w:t>
      </w:r>
    </w:p>
  </w:endnote>
  <w:endnote w:id="11">
    <w:p w:rsidR="00AA24BD" w:rsidRDefault="00AA24BD">
      <w:pPr>
        <w:pStyle w:val="EndnoteText"/>
      </w:pPr>
      <w:r>
        <w:rPr>
          <w:rStyle w:val="EndnoteReference"/>
        </w:rPr>
        <w:endnoteRef/>
      </w:r>
      <w:r>
        <w:t xml:space="preserve"> Exodus 18:22</w:t>
      </w:r>
    </w:p>
  </w:endnote>
  <w:endnote w:id="12">
    <w:p w:rsidR="00AA24BD" w:rsidRDefault="00AA24BD">
      <w:pPr>
        <w:pStyle w:val="EndnoteText"/>
      </w:pPr>
      <w:r>
        <w:rPr>
          <w:rStyle w:val="EndnoteReference"/>
        </w:rPr>
        <w:endnoteRef/>
      </w:r>
      <w:r>
        <w:t xml:space="preserve"> Exodus 18:15, 16; Numbers 15:32, 34</w:t>
      </w:r>
    </w:p>
  </w:endnote>
  <w:endnote w:id="13">
    <w:p w:rsidR="00AA24BD" w:rsidRDefault="00AA24BD">
      <w:pPr>
        <w:pStyle w:val="EndnoteText"/>
      </w:pPr>
      <w:r>
        <w:rPr>
          <w:rStyle w:val="EndnoteReference"/>
        </w:rPr>
        <w:endnoteRef/>
      </w:r>
      <w:r>
        <w:t xml:space="preserve"> Numbers 15:32, 35; Deuteronomy 17:7</w:t>
      </w:r>
    </w:p>
  </w:endnote>
  <w:endnote w:id="14">
    <w:p w:rsidR="00AA24BD" w:rsidRDefault="00AA24BD">
      <w:pPr>
        <w:pStyle w:val="EndnoteText"/>
      </w:pPr>
      <w:r>
        <w:rPr>
          <w:rStyle w:val="EndnoteReference"/>
        </w:rPr>
        <w:endnoteRef/>
      </w:r>
      <w:r>
        <w:t xml:space="preserve"> Deuteronomy 5:11</w:t>
      </w:r>
    </w:p>
  </w:endnote>
  <w:endnote w:id="15">
    <w:p w:rsidR="00AA24BD" w:rsidRDefault="00AA24BD">
      <w:pPr>
        <w:pStyle w:val="EndnoteText"/>
      </w:pPr>
      <w:r>
        <w:rPr>
          <w:rStyle w:val="EndnoteReference"/>
        </w:rPr>
        <w:endnoteRef/>
      </w:r>
      <w:r>
        <w:t xml:space="preserve"> Genesis 9:6; Exodus 21:12; Numbers 35:31; Deuteronomy 19:11-13</w:t>
      </w:r>
    </w:p>
  </w:endnote>
  <w:endnote w:id="16">
    <w:p w:rsidR="00AA24BD" w:rsidRDefault="00AA24BD">
      <w:pPr>
        <w:pStyle w:val="EndnoteText"/>
      </w:pPr>
      <w:r>
        <w:rPr>
          <w:rStyle w:val="EndnoteReference"/>
        </w:rPr>
        <w:endnoteRef/>
      </w:r>
      <w:r>
        <w:t xml:space="preserve"> Exodus 21:23, 24</w:t>
      </w:r>
    </w:p>
  </w:endnote>
  <w:endnote w:id="17">
    <w:p w:rsidR="00AA24BD" w:rsidRDefault="00AA24BD">
      <w:pPr>
        <w:pStyle w:val="EndnoteText"/>
      </w:pPr>
      <w:r>
        <w:rPr>
          <w:rStyle w:val="EndnoteReference"/>
        </w:rPr>
        <w:endnoteRef/>
      </w:r>
      <w:r>
        <w:t xml:space="preserve"> Deuteronomy 19:21; Matthew 5:38</w:t>
      </w:r>
    </w:p>
  </w:endnote>
  <w:endnote w:id="18">
    <w:p w:rsidR="00AA24BD" w:rsidRDefault="00AA24BD">
      <w:pPr>
        <w:pStyle w:val="EndnoteText"/>
      </w:pPr>
      <w:r>
        <w:rPr>
          <w:rStyle w:val="EndnoteReference"/>
        </w:rPr>
        <w:endnoteRef/>
      </w:r>
      <w:r>
        <w:t xml:space="preserve"> Exodus 22:1</w:t>
      </w:r>
    </w:p>
  </w:endnote>
  <w:endnote w:id="19">
    <w:p w:rsidR="00AA24BD" w:rsidRDefault="00AA24BD">
      <w:pPr>
        <w:pStyle w:val="EndnoteText"/>
      </w:pPr>
      <w:r>
        <w:rPr>
          <w:rStyle w:val="EndnoteReference"/>
        </w:rPr>
        <w:endnoteRef/>
      </w:r>
      <w:r>
        <w:t xml:space="preserve"> Genesis 9:6; Exodus 21:12</w:t>
      </w:r>
    </w:p>
  </w:endnote>
  <w:endnote w:id="20">
    <w:p w:rsidR="00AA24BD" w:rsidRDefault="00AA24BD">
      <w:pPr>
        <w:pStyle w:val="EndnoteText"/>
      </w:pPr>
      <w:r>
        <w:rPr>
          <w:rStyle w:val="EndnoteReference"/>
        </w:rPr>
        <w:endnoteRef/>
      </w:r>
      <w:r>
        <w:t xml:space="preserve"> Exodus 12:49; Leviticus 17:10; 19:34; Numbers 9:14; 15:16</w:t>
      </w:r>
    </w:p>
  </w:endnote>
  <w:endnote w:id="21">
    <w:p w:rsidR="00AA24BD" w:rsidRDefault="00AA24BD">
      <w:pPr>
        <w:pStyle w:val="EndnoteText"/>
      </w:pPr>
      <w:r>
        <w:rPr>
          <w:rStyle w:val="EndnoteReference"/>
        </w:rPr>
        <w:endnoteRef/>
      </w:r>
      <w:r>
        <w:t xml:space="preserve"> Numbers 15:33, 36; Deuteronomy 17:7</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MEPS Bookman WTS">
    <w:panose1 w:val="02000508070000020004"/>
    <w:charset w:val="00"/>
    <w:family w:val="auto"/>
    <w:pitch w:val="variable"/>
    <w:sig w:usb0="E7FFAEFF" w:usb1="D200FFFF" w:usb2="1FF3FFED"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B111D" w:rsidRDefault="008B111D">
      <w:r>
        <w:separator/>
      </w:r>
    </w:p>
  </w:footnote>
  <w:footnote w:type="continuationSeparator" w:id="0">
    <w:p w:rsidR="008B111D" w:rsidRDefault="008B111D">
      <w:r>
        <w:continuationSeparator/>
      </w:r>
    </w:p>
  </w:footnote>
  <w:footnote w:id="1">
    <w:p w:rsidR="00AA24BD" w:rsidRDefault="00AA24BD">
      <w:pPr>
        <w:pStyle w:val="FootnoteText"/>
      </w:pPr>
      <w:r>
        <w:rPr>
          <w:rStyle w:val="FootnoteReference"/>
        </w:rPr>
        <w:footnoteRef/>
      </w:r>
      <w:r>
        <w:t xml:space="preserve"> </w:t>
      </w:r>
      <w:r>
        <w:t>Two tenths of an ephah equaled 4.4 L (4 dry qt). See App. B14.</w:t>
      </w:r>
    </w:p>
  </w:footnote>
  <w:footnote w:id="2">
    <w:p w:rsidR="00AA24BD" w:rsidRDefault="00AA24BD">
      <w:pPr>
        <w:pStyle w:val="FootnoteText"/>
      </w:pPr>
      <w:r>
        <w:rPr>
          <w:rStyle w:val="FootnoteReference"/>
        </w:rPr>
        <w:footnoteRef/>
      </w:r>
      <w:r>
        <w:t xml:space="preserve"> </w:t>
      </w:r>
      <w:r>
        <w:t>Or “as a memorial (representative) portion of it.”</w:t>
      </w:r>
    </w:p>
  </w:footnote>
  <w:footnote w:id="3">
    <w:p w:rsidR="00AA24BD" w:rsidRDefault="00AA24BD">
      <w:pPr>
        <w:pStyle w:val="FootnoteText"/>
      </w:pPr>
      <w:r>
        <w:rPr>
          <w:rStyle w:val="FootnoteReference"/>
        </w:rPr>
        <w:footnoteRef/>
      </w:r>
      <w:r>
        <w:t xml:space="preserve"> </w:t>
      </w:r>
      <w:r>
        <w:t>That is, the name Jehovah, as indicated by vss. 15 and 16.</w:t>
      </w:r>
    </w:p>
  </w:footnote>
  <w:footnote w:id="4">
    <w:p w:rsidR="00AA24BD" w:rsidRDefault="00AA24BD">
      <w:pPr>
        <w:pStyle w:val="FootnoteText"/>
      </w:pPr>
      <w:r>
        <w:rPr>
          <w:rStyle w:val="FootnoteReference"/>
        </w:rPr>
        <w:footnoteRef/>
      </w:r>
      <w:r>
        <w:t xml:space="preserve"> </w:t>
      </w:r>
      <w:r>
        <w:t>Or “call down evil upon.”</w:t>
      </w:r>
    </w:p>
  </w:footnote>
  <w:footnote w:id="5">
    <w:p w:rsidR="00AA24BD" w:rsidRDefault="00AA24BD">
      <w:pPr>
        <w:pStyle w:val="FootnoteText"/>
      </w:pPr>
      <w:r>
        <w:rPr>
          <w:rStyle w:val="FootnoteReference"/>
        </w:rPr>
        <w:footnoteRef/>
      </w:r>
      <w:r>
        <w:t xml:space="preserve"> </w:t>
      </w:r>
      <w:r>
        <w:t>Or “fatally strikes any human soul.”</w:t>
      </w:r>
    </w:p>
  </w:footnote>
  <w:footnote w:id="6">
    <w:p w:rsidR="00AA24BD" w:rsidRDefault="00AA24BD">
      <w:pPr>
        <w:pStyle w:val="FootnoteText"/>
      </w:pPr>
      <w:r>
        <w:rPr>
          <w:rStyle w:val="FootnoteReference"/>
        </w:rPr>
        <w:footnoteRef/>
      </w:r>
      <w:r>
        <w:t xml:space="preserve"> </w:t>
      </w:r>
      <w:r>
        <w:t>Or “And one who fatally strikes the soul of an animal.”</w:t>
      </w:r>
    </w:p>
  </w:footnote>
  <w:footnote w:id="7">
    <w:p w:rsidR="00AA24BD" w:rsidRDefault="00AA24BD">
      <w:pPr>
        <w:pStyle w:val="FootnoteText"/>
      </w:pPr>
      <w:r>
        <w:rPr>
          <w:rStyle w:val="FootnoteReference"/>
        </w:rPr>
        <w:footnoteRef/>
      </w:r>
      <w:r>
        <w:t xml:space="preserve"> </w:t>
      </w:r>
      <w:r>
        <w:t>Or “soul for soul.”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AA24BD">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AA24BD">
        <w:t>Leviticus Chapter 24</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AA24BD">
      <w:t>03-Leviticus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AA24BD">
      <w:rPr>
        <w:noProof/>
        <w:snapToGrid w:val="0"/>
      </w:rPr>
      <w:t>Leviticus 24.Advisor.docx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AA24BD">
        <w:t>Leviticus Chapter 24</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AA24BD">
      <w:t>03-Leviticus</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AA24BD">
      <w:rPr>
        <w:noProof/>
        <w:snapToGrid w:val="0"/>
      </w:rPr>
      <w:t>Leviticus 24.Advisor.docx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AA24BD">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AA24BD">
      <w:t>&lt;not set&gt;</w:t>
    </w:r>
    <w:r>
      <w:fldChar w:fldCharType="end"/>
    </w:r>
    <w:r>
      <w:tab/>
      <w:t xml:space="preserve">Checker: </w:t>
    </w:r>
    <w:r>
      <w:fldChar w:fldCharType="begin"/>
    </w:r>
    <w:r>
      <w:instrText xml:space="preserve"> DOCPROPERTY "_RoleChecker" </w:instrText>
    </w:r>
    <w:r>
      <w:fldChar w:fldCharType="separate"/>
    </w:r>
    <w:r w:rsidR="00AA24BD">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AA24BD">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111D"/>
    <w:rsid w:val="00245EDD"/>
    <w:rsid w:val="0026230D"/>
    <w:rsid w:val="002B524D"/>
    <w:rsid w:val="002C00A8"/>
    <w:rsid w:val="002C1A4C"/>
    <w:rsid w:val="00310508"/>
    <w:rsid w:val="003B380B"/>
    <w:rsid w:val="004500A2"/>
    <w:rsid w:val="004B7393"/>
    <w:rsid w:val="004C5EB7"/>
    <w:rsid w:val="005D4494"/>
    <w:rsid w:val="005F29B7"/>
    <w:rsid w:val="006634F9"/>
    <w:rsid w:val="00683A19"/>
    <w:rsid w:val="006B2E68"/>
    <w:rsid w:val="006D0A9F"/>
    <w:rsid w:val="006E0169"/>
    <w:rsid w:val="0075006C"/>
    <w:rsid w:val="00762BCB"/>
    <w:rsid w:val="00796D66"/>
    <w:rsid w:val="007A584B"/>
    <w:rsid w:val="00875211"/>
    <w:rsid w:val="008B111D"/>
    <w:rsid w:val="008F667F"/>
    <w:rsid w:val="00980020"/>
    <w:rsid w:val="0098685D"/>
    <w:rsid w:val="009C7D92"/>
    <w:rsid w:val="00A13B03"/>
    <w:rsid w:val="00A73FF6"/>
    <w:rsid w:val="00A86CA5"/>
    <w:rsid w:val="00AA09DB"/>
    <w:rsid w:val="00AA24BD"/>
    <w:rsid w:val="00B87B77"/>
    <w:rsid w:val="00BC4A6C"/>
    <w:rsid w:val="00BD6AB0"/>
    <w:rsid w:val="00C37E6E"/>
    <w:rsid w:val="00C810DC"/>
    <w:rsid w:val="00C92D5F"/>
    <w:rsid w:val="00CA2E7C"/>
    <w:rsid w:val="00D066FD"/>
    <w:rsid w:val="00D36E44"/>
    <w:rsid w:val="00D41195"/>
    <w:rsid w:val="00D67FE7"/>
    <w:rsid w:val="00D75449"/>
    <w:rsid w:val="00DA0FE2"/>
    <w:rsid w:val="00DE253C"/>
    <w:rsid w:val="00EA2DE5"/>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c5115088fcd74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AA24BD"/>
    <w:pPr>
      <w:spacing w:line="240" w:lineRule="auto"/>
    </w:pPr>
    <w:rPr>
      <w:sz w:val="20"/>
      <w:szCs w:val="20"/>
    </w:rPr>
  </w:style>
  <w:style w:type="character" w:customStyle="1" w:styleId="FootnoteTextChar">
    <w:name w:val="Footnote Text Char"/>
    <w:basedOn w:val="DefaultParagraphFont"/>
    <w:link w:val="FootnoteText"/>
    <w:rsid w:val="00AA24BD"/>
    <w:rPr>
      <w:rFonts w:ascii="Arial" w:eastAsia="Times New Roman" w:hAnsi="Arial" w:cs="Latha"/>
      <w:lang w:val="en-US" w:eastAsia="en-US" w:bidi="ta-IN"/>
    </w:rPr>
  </w:style>
  <w:style w:type="character" w:styleId="FootnoteReference">
    <w:name w:val="footnote reference"/>
    <w:basedOn w:val="DefaultParagraphFont"/>
    <w:rsid w:val="00AA24BD"/>
    <w:rPr>
      <w:vertAlign w:val="superscript"/>
    </w:rPr>
  </w:style>
  <w:style w:type="paragraph" w:styleId="EndnoteText">
    <w:name w:val="endnote text"/>
    <w:basedOn w:val="Normal"/>
    <w:link w:val="EndnoteTextChar"/>
    <w:rsid w:val="00AA24BD"/>
    <w:pPr>
      <w:spacing w:line="240" w:lineRule="auto"/>
    </w:pPr>
    <w:rPr>
      <w:sz w:val="20"/>
      <w:szCs w:val="20"/>
    </w:rPr>
  </w:style>
  <w:style w:type="character" w:customStyle="1" w:styleId="EndnoteTextChar">
    <w:name w:val="Endnote Text Char"/>
    <w:basedOn w:val="DefaultParagraphFont"/>
    <w:link w:val="EndnoteText"/>
    <w:rsid w:val="00AA24BD"/>
    <w:rPr>
      <w:rFonts w:ascii="Arial" w:eastAsia="Times New Roman" w:hAnsi="Arial" w:cs="Latha"/>
      <w:lang w:val="en-US" w:eastAsia="en-US" w:bidi="ta-IN"/>
    </w:rPr>
  </w:style>
  <w:style w:type="character" w:styleId="EndnoteReference">
    <w:name w:val="endnote reference"/>
    <w:basedOn w:val="DefaultParagraphFont"/>
    <w:rsid w:val="00AA24BD"/>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AA24BD"/>
    <w:pPr>
      <w:spacing w:line="240" w:lineRule="auto"/>
    </w:pPr>
    <w:rPr>
      <w:sz w:val="20"/>
      <w:szCs w:val="20"/>
    </w:rPr>
  </w:style>
  <w:style w:type="character" w:customStyle="1" w:styleId="FootnoteTextChar">
    <w:name w:val="Footnote Text Char"/>
    <w:basedOn w:val="DefaultParagraphFont"/>
    <w:link w:val="FootnoteText"/>
    <w:rsid w:val="00AA24BD"/>
    <w:rPr>
      <w:rFonts w:ascii="Arial" w:eastAsia="Times New Roman" w:hAnsi="Arial" w:cs="Latha"/>
      <w:lang w:val="en-US" w:eastAsia="en-US" w:bidi="ta-IN"/>
    </w:rPr>
  </w:style>
  <w:style w:type="character" w:styleId="FootnoteReference">
    <w:name w:val="footnote reference"/>
    <w:basedOn w:val="DefaultParagraphFont"/>
    <w:rsid w:val="00AA24BD"/>
    <w:rPr>
      <w:vertAlign w:val="superscript"/>
    </w:rPr>
  </w:style>
  <w:style w:type="paragraph" w:styleId="EndnoteText">
    <w:name w:val="endnote text"/>
    <w:basedOn w:val="Normal"/>
    <w:link w:val="EndnoteTextChar"/>
    <w:rsid w:val="00AA24BD"/>
    <w:pPr>
      <w:spacing w:line="240" w:lineRule="auto"/>
    </w:pPr>
    <w:rPr>
      <w:sz w:val="20"/>
      <w:szCs w:val="20"/>
    </w:rPr>
  </w:style>
  <w:style w:type="character" w:customStyle="1" w:styleId="EndnoteTextChar">
    <w:name w:val="Endnote Text Char"/>
    <w:basedOn w:val="DefaultParagraphFont"/>
    <w:link w:val="EndnoteText"/>
    <w:rsid w:val="00AA24BD"/>
    <w:rPr>
      <w:rFonts w:ascii="Arial" w:eastAsia="Times New Roman" w:hAnsi="Arial" w:cs="Latha"/>
      <w:lang w:val="en-US" w:eastAsia="en-US" w:bidi="ta-IN"/>
    </w:rPr>
  </w:style>
  <w:style w:type="character" w:styleId="EndnoteReference">
    <w:name w:val="endnote reference"/>
    <w:basedOn w:val="DefaultParagraphFont"/>
    <w:rsid w:val="00AA24B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c5115088fcd74d8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1</ap:TotalTime>
  <ap:Pages>1</ap:Pages>
  <ap:Words>545</ap:Words>
  <ap:Characters>2364</ap:Characters>
  <ap:Application>Microsoft Office Word</ap:Application>
  <ap:DocSecurity>0</ap:DocSecurity>
  <ap:Lines>39</ap:Lines>
  <ap:Paragraphs>8</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2901</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Leviticus Chapter 24</dc:title>
  <dc:subject/>
  <dc:creator>David Waterson</dc:creator>
  <cp:keywords/>
  <dc:description/>
  <cp:lastModifiedBy>David Waterson</cp:lastModifiedBy>
  <cp:revision>3</cp:revision>
  <dcterms:created xsi:type="dcterms:W3CDTF">2019-08-04T14:05:00Z</dcterms:created>
  <dcterms:modified xsi:type="dcterms:W3CDTF">2019-08-04T14:06:00Z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Leviticus 24.docx</vt:lpwstr>
  </property>
  <property fmtid="{D5CDD505-2E9C-101B-9397-08002B2CF9AE}" pid="9" name="_TranslationDocumentId">
    <vt:i4>19444</vt:i4>
  </property>
  <property fmtid="{D5CDD505-2E9C-101B-9397-08002B2CF9AE}" pid="10" name="_ParentPublicationName">
    <vt:lpwstr>03-Leviticus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3024</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3</vt:i4>
  </property>
  <property fmtid="{D5CDD505-2E9C-101B-9397-08002B2CF9AE}" pid="18" name="_ChapterNumber">
    <vt:i4>24</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