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70E3" w:rsidRDefault="002C70E3" w:rsidP="002C70E3">
      <w:pPr>
        <w:rPr>
          <w:rFonts w:eastAsia="Segoe UI" w:cs="Arial"/>
        </w:rPr>
      </w:pPr>
      <w:bookmarkStart w:id="0" w:name="_GoBack"/>
      <w:bookmarkEnd w:id="0"/>
      <w:r>
        <w:rPr>
          <w:rFonts w:eastAsia="Segoe UI" w:cs="Arial"/>
          <w:b/>
        </w:rPr>
        <w:t xml:space="preserve">27:1 </w:t>
      </w:r>
      <w:r>
        <w:rPr>
          <w:rFonts w:eastAsia="Segoe UI" w:cs="Arial"/>
        </w:rPr>
        <w:t xml:space="preserve">Jehovah continued to speak to Moses, saying: </w:t>
      </w:r>
      <w:r>
        <w:rPr>
          <w:rFonts w:eastAsia="Segoe UI" w:cs="Arial"/>
          <w:b/>
        </w:rPr>
        <w:t xml:space="preserve">2 </w:t>
      </w:r>
      <w:r>
        <w:rPr>
          <w:rFonts w:eastAsia="Segoe UI" w:cs="Arial"/>
        </w:rPr>
        <w:t>“Speak to the Israelites and tell them, ‘If a man makes a special vow</w:t>
      </w:r>
      <w:r w:rsidR="00EB205B">
        <w:rPr>
          <w:rStyle w:val="EndnoteReference"/>
          <w:rFonts w:eastAsia="Segoe UI" w:cs="Arial"/>
        </w:rPr>
        <w:endnoteReference w:id="1"/>
      </w:r>
      <w:r>
        <w:rPr>
          <w:rFonts w:eastAsia="Segoe UI" w:cs="Arial"/>
        </w:rPr>
        <w:t xml:space="preserve"> to offer the estimated value of a person</w:t>
      </w:r>
      <w:r w:rsidR="00EB205B">
        <w:rPr>
          <w:rStyle w:val="FootnoteReference"/>
          <w:rFonts w:eastAsia="Segoe UI" w:cs="Arial"/>
        </w:rPr>
        <w:footnoteReference w:id="1"/>
      </w:r>
      <w:r>
        <w:rPr>
          <w:rFonts w:eastAsia="Segoe UI" w:cs="Arial"/>
        </w:rPr>
        <w:t xml:space="preserve"> to Jehovah, </w:t>
      </w:r>
      <w:r>
        <w:rPr>
          <w:rFonts w:eastAsia="Segoe UI" w:cs="Arial"/>
          <w:b/>
        </w:rPr>
        <w:t xml:space="preserve">3 </w:t>
      </w:r>
      <w:r>
        <w:rPr>
          <w:rFonts w:eastAsia="Segoe UI" w:cs="Arial"/>
        </w:rPr>
        <w:t>the estimated value of a male from 20 to 60 years old will be 50 shekels</w:t>
      </w:r>
      <w:r w:rsidR="00EB205B">
        <w:rPr>
          <w:rStyle w:val="FootnoteReference"/>
          <w:rFonts w:eastAsia="Segoe UI" w:cs="Arial"/>
        </w:rPr>
        <w:footnoteReference w:id="2"/>
      </w:r>
      <w:r>
        <w:rPr>
          <w:rFonts w:eastAsia="Segoe UI" w:cs="Arial"/>
        </w:rPr>
        <w:t xml:space="preserve"> of silver by the standard shekel of the holy place.</w:t>
      </w:r>
      <w:r w:rsidR="00EB205B">
        <w:rPr>
          <w:rStyle w:val="FootnoteReference"/>
          <w:rFonts w:eastAsia="Segoe UI" w:cs="Arial"/>
        </w:rPr>
        <w:footnoteReference w:id="3"/>
      </w:r>
      <w:r>
        <w:rPr>
          <w:rFonts w:ascii="MEPS Bookman WTS" w:eastAsia="Segoe UI" w:hAnsi="MEPS Bookman WTS" w:cs="Segoe UI"/>
        </w:rPr>
        <w:t xml:space="preserve"> </w:t>
      </w:r>
      <w:r>
        <w:rPr>
          <w:rFonts w:eastAsia="Segoe UI" w:cs="Arial"/>
          <w:b/>
        </w:rPr>
        <w:t xml:space="preserve">4 </w:t>
      </w:r>
      <w:r>
        <w:rPr>
          <w:rFonts w:eastAsia="Segoe UI" w:cs="Arial"/>
        </w:rPr>
        <w:t xml:space="preserve">But if it is a female, the estimated value will be 30 shekels. </w:t>
      </w:r>
      <w:r>
        <w:rPr>
          <w:rFonts w:eastAsia="Segoe UI" w:cs="Arial"/>
          <w:b/>
        </w:rPr>
        <w:t xml:space="preserve">5 </w:t>
      </w:r>
      <w:r>
        <w:rPr>
          <w:rFonts w:eastAsia="Segoe UI" w:cs="Arial"/>
        </w:rPr>
        <w:t xml:space="preserve">If the age is from 5 to 20 years old, the estimated value of the male will be 20 shekels and 10 shekels for the female. </w:t>
      </w:r>
      <w:r>
        <w:rPr>
          <w:rFonts w:eastAsia="Segoe UI" w:cs="Arial"/>
          <w:b/>
        </w:rPr>
        <w:t xml:space="preserve">6 </w:t>
      </w:r>
      <w:r>
        <w:rPr>
          <w:rFonts w:eastAsia="Segoe UI" w:cs="Arial"/>
        </w:rPr>
        <w:t>If the age is from one month up to five years old, the estimated value of the male will be five shekels of silver and three shekels of silver for the female.</w:t>
      </w:r>
    </w:p>
    <w:p w:rsidR="002C70E3" w:rsidRDefault="002C70E3" w:rsidP="002C70E3">
      <w:pPr>
        <w:rPr>
          <w:rFonts w:ascii="MEPS Bookman WTS" w:eastAsia="Segoe UI" w:hAnsi="MEPS Bookman WTS" w:cs="Segoe UI"/>
        </w:rPr>
      </w:pPr>
      <w:r>
        <w:rPr>
          <w:rFonts w:eastAsia="Segoe UI" w:cs="Arial"/>
          <w:b/>
        </w:rPr>
        <w:t xml:space="preserve">7 </w:t>
      </w:r>
      <w:r>
        <w:rPr>
          <w:rFonts w:eastAsia="Segoe UI" w:cs="Arial"/>
        </w:rPr>
        <w:t xml:space="preserve">“‘If the age is 60 years and over, the estimated value will be 15 shekels for the male and 10 shekels for the female. </w:t>
      </w:r>
      <w:r>
        <w:rPr>
          <w:rFonts w:eastAsia="Segoe UI" w:cs="Arial"/>
          <w:b/>
        </w:rPr>
        <w:t xml:space="preserve">8 </w:t>
      </w:r>
      <w:r>
        <w:rPr>
          <w:rFonts w:eastAsia="Segoe UI" w:cs="Arial"/>
        </w:rPr>
        <w:t>But if he is too poor to pay the estimated value,</w:t>
      </w:r>
      <w:r w:rsidR="00EB205B">
        <w:rPr>
          <w:rStyle w:val="EndnoteReference"/>
          <w:rFonts w:eastAsia="Segoe UI" w:cs="Arial"/>
        </w:rPr>
        <w:endnoteReference w:id="2"/>
      </w:r>
      <w:r>
        <w:rPr>
          <w:rFonts w:eastAsia="Segoe UI" w:cs="Arial"/>
        </w:rPr>
        <w:t xml:space="preserve"> the person will stand before the priest, and the priest will set a value on him. The priest will make the valuation according to what the one making the vow can afford.</w:t>
      </w:r>
      <w:r w:rsidR="00EB205B">
        <w:rPr>
          <w:rStyle w:val="EndnoteReference"/>
          <w:rFonts w:eastAsia="Segoe UI" w:cs="Arial"/>
        </w:rPr>
        <w:endnoteReference w:id="3"/>
      </w:r>
    </w:p>
    <w:p w:rsidR="002C70E3" w:rsidRDefault="002C70E3" w:rsidP="002C70E3">
      <w:pPr>
        <w:rPr>
          <w:rFonts w:ascii="MEPS Bookman WTS" w:eastAsia="Segoe UI" w:hAnsi="MEPS Bookman WTS" w:cs="Segoe UI"/>
        </w:rPr>
      </w:pPr>
      <w:r>
        <w:rPr>
          <w:rFonts w:eastAsia="Segoe UI" w:cs="Arial"/>
          <w:b/>
        </w:rPr>
        <w:t xml:space="preserve">9 </w:t>
      </w:r>
      <w:r>
        <w:rPr>
          <w:rFonts w:eastAsia="Segoe UI" w:cs="Arial"/>
        </w:rPr>
        <w:t xml:space="preserve">“‘If the vow involves an animal that is suitable for offering to Jehovah, whatever may be given to Jehovah will become something holy. </w:t>
      </w:r>
      <w:r>
        <w:rPr>
          <w:rFonts w:eastAsia="Segoe UI" w:cs="Arial"/>
          <w:b/>
        </w:rPr>
        <w:t xml:space="preserve">10 </w:t>
      </w:r>
      <w:r>
        <w:rPr>
          <w:rFonts w:eastAsia="Segoe UI" w:cs="Arial"/>
        </w:rPr>
        <w:t xml:space="preserve">He may not replace it or exchange it with good for bad or with bad for good. But if he should exchange it with one animal for another animal, the original and what is exchanged for it will both become holy. </w:t>
      </w:r>
      <w:r>
        <w:rPr>
          <w:rFonts w:eastAsia="Segoe UI" w:cs="Arial"/>
          <w:b/>
        </w:rPr>
        <w:t xml:space="preserve">11 </w:t>
      </w:r>
      <w:r>
        <w:rPr>
          <w:rFonts w:eastAsia="Segoe UI" w:cs="Arial"/>
        </w:rPr>
        <w:t>If it is an unclean animal</w:t>
      </w:r>
      <w:r w:rsidR="00EB205B">
        <w:rPr>
          <w:rStyle w:val="EndnoteReference"/>
          <w:rFonts w:eastAsia="Segoe UI" w:cs="Arial"/>
        </w:rPr>
        <w:endnoteReference w:id="4"/>
      </w:r>
      <w:r>
        <w:rPr>
          <w:rFonts w:eastAsia="Segoe UI" w:cs="Arial"/>
        </w:rPr>
        <w:t xml:space="preserve"> that may not be presented as an offering to Jehovah, he will then stand the animal before the priest. </w:t>
      </w:r>
      <w:r>
        <w:rPr>
          <w:rFonts w:eastAsia="Segoe UI" w:cs="Arial"/>
          <w:b/>
        </w:rPr>
        <w:t xml:space="preserve">12 </w:t>
      </w:r>
      <w:r>
        <w:rPr>
          <w:rFonts w:eastAsia="Segoe UI" w:cs="Arial"/>
        </w:rPr>
        <w:t xml:space="preserve">The priest will then set its value, as to whether it is good or bad. The value estimated by the priest will stand. </w:t>
      </w:r>
      <w:r>
        <w:rPr>
          <w:rFonts w:eastAsia="Segoe UI" w:cs="Arial"/>
          <w:b/>
        </w:rPr>
        <w:t xml:space="preserve">13 </w:t>
      </w:r>
      <w:r>
        <w:rPr>
          <w:rFonts w:eastAsia="Segoe UI" w:cs="Arial"/>
        </w:rPr>
        <w:t>But if he ever wants to buy it back, he must then give a fifth of it in addition to the estimated value.</w:t>
      </w:r>
      <w:r w:rsidR="00EB205B">
        <w:rPr>
          <w:rStyle w:val="EndnoteReference"/>
          <w:rFonts w:eastAsia="Segoe UI" w:cs="Arial"/>
        </w:rPr>
        <w:endnoteReference w:id="5"/>
      </w:r>
    </w:p>
    <w:p w:rsidR="002C70E3" w:rsidRDefault="002C70E3" w:rsidP="002C70E3">
      <w:pPr>
        <w:rPr>
          <w:rFonts w:eastAsia="Segoe UI" w:cs="Arial"/>
        </w:rPr>
      </w:pPr>
      <w:r>
        <w:rPr>
          <w:rFonts w:eastAsia="Segoe UI" w:cs="Arial"/>
          <w:b/>
        </w:rPr>
        <w:t xml:space="preserve">14 </w:t>
      </w:r>
      <w:r>
        <w:rPr>
          <w:rFonts w:eastAsia="Segoe UI" w:cs="Arial"/>
        </w:rPr>
        <w:t>“‘Now if a man should sanctify his house as something holy to Jehovah, the priest will then set its value, whether it is good or bad. According to the value that the priest sets, that is what it will cost.</w:t>
      </w:r>
      <w:r w:rsidR="00EB205B">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15 </w:t>
      </w:r>
      <w:r>
        <w:rPr>
          <w:rFonts w:eastAsia="Segoe UI" w:cs="Arial"/>
        </w:rPr>
        <w:t>But if the one who sanctifies his house wants to buy it back, he must then give a fifth of the money of the estimated value in addition to it, and it will become his.</w:t>
      </w:r>
    </w:p>
    <w:p w:rsidR="002C70E3" w:rsidRDefault="002C70E3" w:rsidP="002C70E3">
      <w:pPr>
        <w:rPr>
          <w:rFonts w:ascii="MEPS Bookman WTS" w:eastAsia="Segoe UI" w:hAnsi="MEPS Bookman WTS" w:cs="Segoe UI"/>
        </w:rPr>
      </w:pPr>
      <w:r>
        <w:rPr>
          <w:rFonts w:eastAsia="Segoe UI" w:cs="Arial"/>
          <w:b/>
        </w:rPr>
        <w:t xml:space="preserve">16 </w:t>
      </w:r>
      <w:r>
        <w:rPr>
          <w:rFonts w:eastAsia="Segoe UI" w:cs="Arial"/>
        </w:rPr>
        <w:t>“‘If a man sanctifies to Jehovah some of the field that he possesses, the value will be estimated in proportion to the seed needed to sow it: a ho′mer</w:t>
      </w:r>
      <w:r w:rsidR="00EB205B">
        <w:rPr>
          <w:rStyle w:val="FootnoteReference"/>
          <w:rFonts w:eastAsia="Segoe UI" w:cs="Arial"/>
        </w:rPr>
        <w:footnoteReference w:id="4"/>
      </w:r>
      <w:r>
        <w:rPr>
          <w:rFonts w:eastAsia="Segoe UI" w:cs="Arial"/>
        </w:rPr>
        <w:t xml:space="preserve"> of barley seed will be 50 shekels of silver. </w:t>
      </w:r>
      <w:r>
        <w:rPr>
          <w:rFonts w:eastAsia="Segoe UI" w:cs="Arial"/>
          <w:b/>
        </w:rPr>
        <w:t xml:space="preserve">17 </w:t>
      </w:r>
      <w:r>
        <w:rPr>
          <w:rFonts w:eastAsia="Segoe UI" w:cs="Arial"/>
        </w:rPr>
        <w:t>If he sanctifies his field from the year of Jubilee,</w:t>
      </w:r>
      <w:r w:rsidR="00EB205B">
        <w:rPr>
          <w:rStyle w:val="EndnoteReference"/>
          <w:rFonts w:eastAsia="Segoe UI" w:cs="Arial"/>
        </w:rPr>
        <w:endnoteReference w:id="7"/>
      </w:r>
      <w:r>
        <w:rPr>
          <w:rFonts w:eastAsia="Segoe UI" w:cs="Arial"/>
        </w:rPr>
        <w:t xml:space="preserve"> the estimated value stands. </w:t>
      </w:r>
      <w:r>
        <w:rPr>
          <w:rFonts w:eastAsia="Segoe UI" w:cs="Arial"/>
          <w:b/>
        </w:rPr>
        <w:t xml:space="preserve">18 </w:t>
      </w:r>
      <w:r>
        <w:rPr>
          <w:rFonts w:eastAsia="Segoe UI" w:cs="Arial"/>
        </w:rPr>
        <w:t>If he sanctifies his field after the Jubilee, the priest will calculate for him the price in proportion to the years that are left until the next year of Jubilee, and a deduction should be made from the estimated value.</w:t>
      </w:r>
      <w:r w:rsidR="00EB205B">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19 </w:t>
      </w:r>
      <w:r>
        <w:rPr>
          <w:rFonts w:eastAsia="Segoe UI" w:cs="Arial"/>
        </w:rPr>
        <w:t xml:space="preserve">But if the one who sanctified it should ever buy the field back, he must then give a fifth of the money of the estimated value in addition to it, and it will remain his. </w:t>
      </w:r>
      <w:r>
        <w:rPr>
          <w:rFonts w:eastAsia="Segoe UI" w:cs="Arial"/>
          <w:b/>
        </w:rPr>
        <w:t xml:space="preserve">20 </w:t>
      </w:r>
      <w:r>
        <w:rPr>
          <w:rFonts w:eastAsia="Segoe UI" w:cs="Arial"/>
        </w:rPr>
        <w:t xml:space="preserve">Now if he should not buy the field back and the field is sold to another man, it may not be bought back again. </w:t>
      </w:r>
      <w:r>
        <w:rPr>
          <w:rFonts w:eastAsia="Segoe UI" w:cs="Arial"/>
          <w:b/>
        </w:rPr>
        <w:t xml:space="preserve">21 </w:t>
      </w:r>
      <w:r>
        <w:rPr>
          <w:rFonts w:eastAsia="Segoe UI" w:cs="Arial"/>
        </w:rPr>
        <w:t>When the field is released in the Jubilee, it will become something holy to Jehovah, as a field that is devoted to him. It will become the property of the priests.</w:t>
      </w:r>
      <w:r w:rsidR="00EB205B">
        <w:rPr>
          <w:rStyle w:val="EndnoteReference"/>
          <w:rFonts w:eastAsia="Segoe UI" w:cs="Arial"/>
        </w:rPr>
        <w:endnoteReference w:id="9"/>
      </w:r>
    </w:p>
    <w:p w:rsidR="002C70E3" w:rsidRDefault="002C70E3" w:rsidP="002C70E3">
      <w:pPr>
        <w:rPr>
          <w:rFonts w:ascii="MEPS Bookman WTS" w:eastAsia="Segoe UI" w:hAnsi="MEPS Bookman WTS" w:cs="Segoe UI"/>
        </w:rPr>
      </w:pPr>
      <w:r>
        <w:rPr>
          <w:rFonts w:eastAsia="Segoe UI" w:cs="Arial"/>
          <w:b/>
        </w:rPr>
        <w:t xml:space="preserve">22 </w:t>
      </w:r>
      <w:r>
        <w:rPr>
          <w:rFonts w:eastAsia="Segoe UI" w:cs="Arial"/>
        </w:rPr>
        <w:t>“‘If a man sanctifies to Jehovah a field he purchased that is not part of his hereditary property,</w:t>
      </w:r>
      <w:r w:rsidR="00EB205B">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23 </w:t>
      </w:r>
      <w:r>
        <w:rPr>
          <w:rFonts w:eastAsia="Segoe UI" w:cs="Arial"/>
        </w:rPr>
        <w:t>the priest will calculate for him the amount of the valuation up until the year of Jubilee, and he will give the estimated value on that day.</w:t>
      </w:r>
      <w:r w:rsidR="00EB205B">
        <w:rPr>
          <w:rStyle w:val="EndnoteReference"/>
          <w:rFonts w:eastAsia="Segoe UI" w:cs="Arial"/>
        </w:rPr>
        <w:endnoteReference w:id="11"/>
      </w:r>
      <w:r>
        <w:rPr>
          <w:rFonts w:eastAsia="Segoe UI" w:cs="Arial"/>
        </w:rPr>
        <w:t xml:space="preserve"> It is something holy to Jehovah. </w:t>
      </w:r>
      <w:r>
        <w:rPr>
          <w:rFonts w:eastAsia="Segoe UI" w:cs="Arial"/>
          <w:b/>
        </w:rPr>
        <w:t xml:space="preserve">24 </w:t>
      </w:r>
      <w:r>
        <w:rPr>
          <w:rFonts w:eastAsia="Segoe UI" w:cs="Arial"/>
        </w:rPr>
        <w:t>In the year of Jubilee, the field will return to the one he bought it from, to the one the land belongs to.</w:t>
      </w:r>
      <w:r w:rsidR="00EB205B">
        <w:rPr>
          <w:rStyle w:val="EndnoteReference"/>
          <w:rFonts w:eastAsia="Segoe UI" w:cs="Arial"/>
        </w:rPr>
        <w:endnoteReference w:id="12"/>
      </w:r>
    </w:p>
    <w:p w:rsidR="002C70E3" w:rsidRDefault="002C70E3" w:rsidP="002C70E3">
      <w:pPr>
        <w:rPr>
          <w:rFonts w:ascii="MEPS Bookman WTS" w:eastAsia="Segoe UI" w:hAnsi="MEPS Bookman WTS" w:cs="Segoe UI"/>
        </w:rPr>
      </w:pPr>
      <w:r>
        <w:rPr>
          <w:rFonts w:eastAsia="Segoe UI" w:cs="Arial"/>
          <w:b/>
        </w:rPr>
        <w:t xml:space="preserve">25 </w:t>
      </w:r>
      <w:r>
        <w:rPr>
          <w:rFonts w:eastAsia="Segoe UI" w:cs="Arial"/>
        </w:rPr>
        <w:t>“‘Every value should be estimated by the standard shekel of the holy place. The shekel should amount to 20 ge′rahs.</w:t>
      </w:r>
      <w:r w:rsidR="00EB205B">
        <w:rPr>
          <w:rStyle w:val="FootnoteReference"/>
          <w:rFonts w:eastAsia="Segoe UI" w:cs="Arial"/>
        </w:rPr>
        <w:footnoteReference w:id="5"/>
      </w:r>
    </w:p>
    <w:p w:rsidR="002C70E3" w:rsidRDefault="002C70E3" w:rsidP="002C70E3">
      <w:pPr>
        <w:rPr>
          <w:rFonts w:eastAsia="Segoe UI" w:cs="Arial"/>
        </w:rPr>
      </w:pPr>
      <w:r>
        <w:rPr>
          <w:rFonts w:eastAsia="Segoe UI" w:cs="Arial"/>
          <w:b/>
        </w:rPr>
        <w:t xml:space="preserve">26 </w:t>
      </w:r>
      <w:r>
        <w:rPr>
          <w:rFonts w:eastAsia="Segoe UI" w:cs="Arial"/>
        </w:rPr>
        <w:t>“‘However, no one should sanctify the firstborn of the animals, since it is born as the firstborn for Jehovah.</w:t>
      </w:r>
      <w:r w:rsidR="00EB205B">
        <w:rPr>
          <w:rStyle w:val="EndnoteReference"/>
          <w:rFonts w:eastAsia="Segoe UI" w:cs="Arial"/>
        </w:rPr>
        <w:endnoteReference w:id="13"/>
      </w:r>
      <w:r>
        <w:rPr>
          <w:rFonts w:eastAsia="Segoe UI" w:cs="Arial"/>
        </w:rPr>
        <w:t xml:space="preserve"> Whether bull or sheep, it already belongs to Jehovah.</w:t>
      </w:r>
      <w:r w:rsidR="00EB205B">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27 </w:t>
      </w:r>
      <w:r>
        <w:rPr>
          <w:rFonts w:eastAsia="Segoe UI" w:cs="Arial"/>
        </w:rPr>
        <w:t>If it is among the unclean animals and he redeems it according to the estimated value, he should give a fifth of it in addition to it.</w:t>
      </w:r>
      <w:r w:rsidR="00EB205B">
        <w:rPr>
          <w:rStyle w:val="EndnoteReference"/>
          <w:rFonts w:eastAsia="Segoe UI" w:cs="Arial"/>
        </w:rPr>
        <w:endnoteReference w:id="15"/>
      </w:r>
      <w:r>
        <w:rPr>
          <w:rFonts w:eastAsia="Segoe UI" w:cs="Arial"/>
        </w:rPr>
        <w:t xml:space="preserve"> But if it is not bought back, it will be sold according to the estimated value.</w:t>
      </w:r>
    </w:p>
    <w:p w:rsidR="002C70E3" w:rsidRDefault="002C70E3" w:rsidP="002C70E3">
      <w:pPr>
        <w:rPr>
          <w:rFonts w:ascii="MEPS Bookman WTS" w:eastAsia="Segoe UI" w:hAnsi="MEPS Bookman WTS" w:cs="Segoe UI"/>
        </w:rPr>
      </w:pPr>
      <w:r>
        <w:rPr>
          <w:rFonts w:eastAsia="Segoe UI" w:cs="Arial"/>
          <w:b/>
        </w:rPr>
        <w:t xml:space="preserve">28 </w:t>
      </w:r>
      <w:r>
        <w:rPr>
          <w:rFonts w:eastAsia="Segoe UI" w:cs="Arial"/>
        </w:rPr>
        <w:t>“‘But no devoted thing that a man devotes unconditionally</w:t>
      </w:r>
      <w:r w:rsidR="00EB205B">
        <w:rPr>
          <w:rStyle w:val="FootnoteReference"/>
          <w:rFonts w:eastAsia="Segoe UI" w:cs="Arial"/>
        </w:rPr>
        <w:footnoteReference w:id="6"/>
      </w:r>
      <w:r>
        <w:rPr>
          <w:rFonts w:eastAsia="Segoe UI" w:cs="Arial"/>
        </w:rPr>
        <w:t xml:space="preserve"> to Jehovah from his belongings may be sold or bought back, whether from mankind or animals or the field he possesses. Every devoted thing is something most holy to Jehovah.</w:t>
      </w:r>
      <w:r w:rsidR="00EB205B">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29 </w:t>
      </w:r>
      <w:r>
        <w:rPr>
          <w:rFonts w:eastAsia="Segoe UI" w:cs="Arial"/>
        </w:rPr>
        <w:t>Furthermore, no condemned</w:t>
      </w:r>
      <w:r w:rsidR="00EB205B">
        <w:rPr>
          <w:rStyle w:val="FootnoteReference"/>
          <w:rFonts w:eastAsia="Segoe UI" w:cs="Arial"/>
        </w:rPr>
        <w:footnoteReference w:id="7"/>
      </w:r>
      <w:r>
        <w:rPr>
          <w:rFonts w:eastAsia="Segoe UI" w:cs="Arial"/>
        </w:rPr>
        <w:t xml:space="preserve"> person who is set apart for destruction may be redeemed.</w:t>
      </w:r>
      <w:r w:rsidR="00EB205B">
        <w:rPr>
          <w:rStyle w:val="EndnoteReference"/>
          <w:rFonts w:eastAsia="Segoe UI" w:cs="Arial"/>
        </w:rPr>
        <w:endnoteReference w:id="17"/>
      </w:r>
      <w:r>
        <w:rPr>
          <w:rFonts w:eastAsia="Segoe UI" w:cs="Arial"/>
        </w:rPr>
        <w:t xml:space="preserve"> He should be put to death without fail.</w:t>
      </w:r>
      <w:r w:rsidR="00EB205B">
        <w:rPr>
          <w:rStyle w:val="EndnoteReference"/>
          <w:rFonts w:eastAsia="Segoe UI" w:cs="Arial"/>
        </w:rPr>
        <w:endnoteReference w:id="18"/>
      </w:r>
    </w:p>
    <w:p w:rsidR="002C70E3" w:rsidRDefault="002C70E3" w:rsidP="002C70E3">
      <w:pPr>
        <w:rPr>
          <w:rFonts w:eastAsia="Segoe UI" w:cs="Arial"/>
        </w:rPr>
      </w:pPr>
      <w:r>
        <w:rPr>
          <w:rFonts w:eastAsia="Segoe UI" w:cs="Arial"/>
          <w:b/>
        </w:rPr>
        <w:t xml:space="preserve">30 </w:t>
      </w:r>
      <w:r>
        <w:rPr>
          <w:rFonts w:eastAsia="Segoe UI" w:cs="Arial"/>
        </w:rPr>
        <w:t>“‘Every tenth part</w:t>
      </w:r>
      <w:r w:rsidR="00EB205B">
        <w:rPr>
          <w:rStyle w:val="FootnoteReference"/>
          <w:rFonts w:eastAsia="Segoe UI" w:cs="Arial"/>
        </w:rPr>
        <w:footnoteReference w:id="8"/>
      </w:r>
      <w:r w:rsidR="00EB205B">
        <w:rPr>
          <w:rStyle w:val="EndnoteReference"/>
          <w:rFonts w:eastAsia="Segoe UI" w:cs="Arial"/>
        </w:rPr>
        <w:endnoteReference w:id="19"/>
      </w:r>
      <w:r>
        <w:rPr>
          <w:rFonts w:eastAsia="Segoe UI" w:cs="Arial"/>
        </w:rPr>
        <w:t xml:space="preserve"> of the land, whether from the produce of the field or the fruit of the trees, belongs to Jehovah. It is something holy to Jehovah. </w:t>
      </w:r>
      <w:r>
        <w:rPr>
          <w:rFonts w:eastAsia="Segoe UI" w:cs="Arial"/>
          <w:b/>
        </w:rPr>
        <w:t xml:space="preserve">31 </w:t>
      </w:r>
      <w:r>
        <w:rPr>
          <w:rFonts w:eastAsia="Segoe UI" w:cs="Arial"/>
        </w:rPr>
        <w:t xml:space="preserve">If a man ever wants to buy any of his tenth part back, he should give a fifth of it in addition to it. </w:t>
      </w:r>
      <w:r>
        <w:rPr>
          <w:rFonts w:eastAsia="Segoe UI" w:cs="Arial"/>
          <w:b/>
        </w:rPr>
        <w:t xml:space="preserve">32 </w:t>
      </w:r>
      <w:r>
        <w:rPr>
          <w:rFonts w:eastAsia="Segoe UI" w:cs="Arial"/>
        </w:rPr>
        <w:t>As for every tenth part of the herd and flock, everything that passes under the shepherd’s staff, the tenth animal</w:t>
      </w:r>
      <w:r w:rsidR="00EB205B">
        <w:rPr>
          <w:rStyle w:val="FootnoteReference"/>
          <w:rFonts w:eastAsia="Segoe UI" w:cs="Arial"/>
        </w:rPr>
        <w:footnoteReference w:id="9"/>
      </w:r>
      <w:r>
        <w:rPr>
          <w:rFonts w:eastAsia="Segoe UI" w:cs="Arial"/>
        </w:rPr>
        <w:t xml:space="preserve"> should become something holy to Jehovah. </w:t>
      </w:r>
      <w:r>
        <w:rPr>
          <w:rFonts w:eastAsia="Segoe UI" w:cs="Arial"/>
          <w:b/>
        </w:rPr>
        <w:t xml:space="preserve">33 </w:t>
      </w:r>
      <w:r>
        <w:rPr>
          <w:rFonts w:eastAsia="Segoe UI" w:cs="Arial"/>
        </w:rPr>
        <w:t>He should not examine whether it is good or bad, neither should he exchange it. But if he would ever try to exchange it, both the original and what is exchanged for it should become something holy.</w:t>
      </w:r>
      <w:r w:rsidR="00EB205B">
        <w:rPr>
          <w:rStyle w:val="EndnoteReference"/>
          <w:rFonts w:eastAsia="Segoe UI" w:cs="Arial"/>
        </w:rPr>
        <w:endnoteReference w:id="20"/>
      </w:r>
      <w:r>
        <w:rPr>
          <w:rFonts w:eastAsia="Segoe UI" w:cs="Arial"/>
        </w:rPr>
        <w:t xml:space="preserve"> It may not be bought back.’”</w:t>
      </w:r>
    </w:p>
    <w:p w:rsidR="002C70E3" w:rsidRDefault="002C70E3" w:rsidP="002C70E3">
      <w:pPr>
        <w:rPr>
          <w:rFonts w:ascii="MEPS Bookman WTS" w:eastAsia="Segoe UI" w:hAnsi="MEPS Bookman WTS" w:cs="Segoe UI"/>
        </w:rPr>
      </w:pPr>
      <w:r>
        <w:rPr>
          <w:rFonts w:eastAsia="Segoe UI" w:cs="Arial"/>
          <w:b/>
        </w:rPr>
        <w:t xml:space="preserve">34 </w:t>
      </w:r>
      <w:r>
        <w:rPr>
          <w:rFonts w:eastAsia="Segoe UI" w:cs="Arial"/>
        </w:rPr>
        <w:t>These are the commandments that Jehovah gave to Moses for the Israelites on Mount Si′nai.</w:t>
      </w:r>
      <w:r w:rsidR="00EB205B">
        <w:rPr>
          <w:rStyle w:val="EndnoteReference"/>
          <w:rFonts w:eastAsia="Segoe UI" w:cs="Arial"/>
        </w:rPr>
        <w:endnoteReference w:id="21"/>
      </w:r>
    </w:p>
    <w:p w:rsidR="00762BCB" w:rsidRPr="002C70E3" w:rsidRDefault="00762BCB" w:rsidP="002C70E3"/>
    <w:sectPr w:rsidR="00762BCB" w:rsidRPr="002C70E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0050" w:rsidRDefault="00840050">
      <w:r>
        <w:separator/>
      </w:r>
    </w:p>
  </w:endnote>
  <w:endnote w:type="continuationSeparator" w:id="0">
    <w:p w:rsidR="00840050" w:rsidRDefault="00840050">
      <w:r>
        <w:continuationSeparator/>
      </w:r>
    </w:p>
  </w:endnote>
  <w:endnote w:id="1">
    <w:p w:rsidR="00EB205B" w:rsidRDefault="00EB205B">
      <w:pPr>
        <w:pStyle w:val="EndnoteText"/>
      </w:pPr>
      <w:r>
        <w:rPr>
          <w:rStyle w:val="EndnoteReference"/>
        </w:rPr>
        <w:endnoteRef/>
      </w:r>
      <w:r>
        <w:t xml:space="preserve"> Deuteronomy 23:21; Judges 11:30, 31; 1 Samuel 1:11</w:t>
      </w:r>
    </w:p>
  </w:endnote>
  <w:endnote w:id="2">
    <w:p w:rsidR="00EB205B" w:rsidRDefault="00EB205B">
      <w:pPr>
        <w:pStyle w:val="EndnoteText"/>
      </w:pPr>
      <w:r>
        <w:rPr>
          <w:rStyle w:val="EndnoteReference"/>
        </w:rPr>
        <w:endnoteRef/>
      </w:r>
      <w:r>
        <w:t xml:space="preserve"> Leviticus 5:7, 11; 12:8; 14:21</w:t>
      </w:r>
    </w:p>
  </w:endnote>
  <w:endnote w:id="3">
    <w:p w:rsidR="00EB205B" w:rsidRDefault="00EB205B">
      <w:pPr>
        <w:pStyle w:val="EndnoteText"/>
      </w:pPr>
      <w:r>
        <w:rPr>
          <w:rStyle w:val="EndnoteReference"/>
        </w:rPr>
        <w:endnoteRef/>
      </w:r>
      <w:r>
        <w:t xml:space="preserve"> Luke 21:2-4; 2 Corinthians 8:12</w:t>
      </w:r>
    </w:p>
  </w:endnote>
  <w:endnote w:id="4">
    <w:p w:rsidR="00EB205B" w:rsidRDefault="00EB205B">
      <w:pPr>
        <w:pStyle w:val="EndnoteText"/>
      </w:pPr>
      <w:r>
        <w:rPr>
          <w:rStyle w:val="EndnoteReference"/>
        </w:rPr>
        <w:endnoteRef/>
      </w:r>
      <w:r>
        <w:t xml:space="preserve"> Leviticus 20:25; Deuteronomy 14:7, 8</w:t>
      </w:r>
    </w:p>
  </w:endnote>
  <w:endnote w:id="5">
    <w:p w:rsidR="00EB205B" w:rsidRDefault="00EB205B">
      <w:pPr>
        <w:pStyle w:val="EndnoteText"/>
      </w:pPr>
      <w:r>
        <w:rPr>
          <w:rStyle w:val="EndnoteReference"/>
        </w:rPr>
        <w:endnoteRef/>
      </w:r>
      <w:r>
        <w:t xml:space="preserve"> Leviticus 27:19</w:t>
      </w:r>
    </w:p>
  </w:endnote>
  <w:endnote w:id="6">
    <w:p w:rsidR="00EB205B" w:rsidRDefault="00EB205B">
      <w:pPr>
        <w:pStyle w:val="EndnoteText"/>
      </w:pPr>
      <w:r>
        <w:rPr>
          <w:rStyle w:val="EndnoteReference"/>
        </w:rPr>
        <w:endnoteRef/>
      </w:r>
      <w:r>
        <w:t xml:space="preserve"> Leviticus 27:11, 12</w:t>
      </w:r>
    </w:p>
  </w:endnote>
  <w:endnote w:id="7">
    <w:p w:rsidR="00EB205B" w:rsidRDefault="00EB205B">
      <w:pPr>
        <w:pStyle w:val="EndnoteText"/>
      </w:pPr>
      <w:r>
        <w:rPr>
          <w:rStyle w:val="EndnoteReference"/>
        </w:rPr>
        <w:endnoteRef/>
      </w:r>
      <w:r>
        <w:t xml:space="preserve"> Leviticus 25:10</w:t>
      </w:r>
    </w:p>
  </w:endnote>
  <w:endnote w:id="8">
    <w:p w:rsidR="00EB205B" w:rsidRDefault="00EB205B">
      <w:pPr>
        <w:pStyle w:val="EndnoteText"/>
      </w:pPr>
      <w:r>
        <w:rPr>
          <w:rStyle w:val="EndnoteReference"/>
        </w:rPr>
        <w:endnoteRef/>
      </w:r>
      <w:r>
        <w:t xml:space="preserve"> Leviticus 25:15, 16</w:t>
      </w:r>
    </w:p>
  </w:endnote>
  <w:endnote w:id="9">
    <w:p w:rsidR="00EB205B" w:rsidRDefault="00EB205B">
      <w:pPr>
        <w:pStyle w:val="EndnoteText"/>
      </w:pPr>
      <w:r>
        <w:rPr>
          <w:rStyle w:val="EndnoteReference"/>
        </w:rPr>
        <w:endnoteRef/>
      </w:r>
      <w:r>
        <w:t xml:space="preserve"> Numbers 18:8, 14</w:t>
      </w:r>
    </w:p>
  </w:endnote>
  <w:endnote w:id="10">
    <w:p w:rsidR="00EB205B" w:rsidRDefault="00EB205B">
      <w:pPr>
        <w:pStyle w:val="EndnoteText"/>
      </w:pPr>
      <w:r>
        <w:rPr>
          <w:rStyle w:val="EndnoteReference"/>
        </w:rPr>
        <w:endnoteRef/>
      </w:r>
      <w:r>
        <w:t xml:space="preserve"> Leviticus 25:25</w:t>
      </w:r>
    </w:p>
  </w:endnote>
  <w:endnote w:id="11">
    <w:p w:rsidR="00EB205B" w:rsidRDefault="00EB205B">
      <w:pPr>
        <w:pStyle w:val="EndnoteText"/>
      </w:pPr>
      <w:r>
        <w:rPr>
          <w:rStyle w:val="EndnoteReference"/>
        </w:rPr>
        <w:endnoteRef/>
      </w:r>
      <w:r>
        <w:t xml:space="preserve"> Leviticus 27:11, 12, 18</w:t>
      </w:r>
    </w:p>
  </w:endnote>
  <w:endnote w:id="12">
    <w:p w:rsidR="00EB205B" w:rsidRDefault="00EB205B">
      <w:pPr>
        <w:pStyle w:val="EndnoteText"/>
      </w:pPr>
      <w:r>
        <w:rPr>
          <w:rStyle w:val="EndnoteReference"/>
        </w:rPr>
        <w:endnoteRef/>
      </w:r>
      <w:r>
        <w:t xml:space="preserve"> Leviticus 25:10, 28</w:t>
      </w:r>
    </w:p>
  </w:endnote>
  <w:endnote w:id="13">
    <w:p w:rsidR="00EB205B" w:rsidRDefault="00EB205B">
      <w:pPr>
        <w:pStyle w:val="EndnoteText"/>
      </w:pPr>
      <w:r>
        <w:rPr>
          <w:rStyle w:val="EndnoteReference"/>
        </w:rPr>
        <w:endnoteRef/>
      </w:r>
      <w:r>
        <w:t xml:space="preserve"> Exodus 13:2; Numbers 18:17</w:t>
      </w:r>
    </w:p>
  </w:endnote>
  <w:endnote w:id="14">
    <w:p w:rsidR="00EB205B" w:rsidRDefault="00EB205B">
      <w:pPr>
        <w:pStyle w:val="EndnoteText"/>
      </w:pPr>
      <w:r>
        <w:rPr>
          <w:rStyle w:val="EndnoteReference"/>
        </w:rPr>
        <w:endnoteRef/>
      </w:r>
      <w:r>
        <w:t xml:space="preserve"> Exodus 22:30; Deuteronomy 15:19</w:t>
      </w:r>
    </w:p>
  </w:endnote>
  <w:endnote w:id="15">
    <w:p w:rsidR="00EB205B" w:rsidRDefault="00EB205B">
      <w:pPr>
        <w:pStyle w:val="EndnoteText"/>
      </w:pPr>
      <w:r>
        <w:rPr>
          <w:rStyle w:val="EndnoteReference"/>
        </w:rPr>
        <w:endnoteRef/>
      </w:r>
      <w:r>
        <w:t xml:space="preserve"> Leviticus 27:11-13</w:t>
      </w:r>
    </w:p>
  </w:endnote>
  <w:endnote w:id="16">
    <w:p w:rsidR="00EB205B" w:rsidRDefault="00EB205B">
      <w:pPr>
        <w:pStyle w:val="EndnoteText"/>
      </w:pPr>
      <w:r>
        <w:rPr>
          <w:rStyle w:val="EndnoteReference"/>
        </w:rPr>
        <w:endnoteRef/>
      </w:r>
      <w:r>
        <w:t xml:space="preserve"> Numbers 18:8, 14</w:t>
      </w:r>
    </w:p>
  </w:endnote>
  <w:endnote w:id="17">
    <w:p w:rsidR="00EB205B" w:rsidRDefault="00EB205B">
      <w:pPr>
        <w:pStyle w:val="EndnoteText"/>
      </w:pPr>
      <w:r>
        <w:rPr>
          <w:rStyle w:val="EndnoteReference"/>
        </w:rPr>
        <w:endnoteRef/>
      </w:r>
      <w:r>
        <w:t xml:space="preserve"> Numbers 21:2</w:t>
      </w:r>
    </w:p>
  </w:endnote>
  <w:endnote w:id="18">
    <w:p w:rsidR="00EB205B" w:rsidRDefault="00EB205B">
      <w:pPr>
        <w:pStyle w:val="EndnoteText"/>
      </w:pPr>
      <w:r>
        <w:rPr>
          <w:rStyle w:val="EndnoteReference"/>
        </w:rPr>
        <w:endnoteRef/>
      </w:r>
      <w:r>
        <w:t xml:space="preserve"> Joshua 6:17; 1 Samuel 15:3, 18</w:t>
      </w:r>
    </w:p>
  </w:endnote>
  <w:endnote w:id="19">
    <w:p w:rsidR="00EB205B" w:rsidRDefault="00EB205B">
      <w:pPr>
        <w:pStyle w:val="EndnoteText"/>
      </w:pPr>
      <w:r>
        <w:rPr>
          <w:rStyle w:val="EndnoteReference"/>
        </w:rPr>
        <w:endnoteRef/>
      </w:r>
      <w:r>
        <w:t xml:space="preserve"> Genesis 14:20; 28:22; Numbers 18:21, 26; Deuteronomy 14:22; 2 Chronicles 31:5; Nehemiah 13:12; Malachi 3:10; Luke 11:42; Hebrews 7:5</w:t>
      </w:r>
    </w:p>
  </w:endnote>
  <w:endnote w:id="20">
    <w:p w:rsidR="00EB205B" w:rsidRDefault="00EB205B">
      <w:pPr>
        <w:pStyle w:val="EndnoteText"/>
      </w:pPr>
      <w:r>
        <w:rPr>
          <w:rStyle w:val="EndnoteReference"/>
        </w:rPr>
        <w:endnoteRef/>
      </w:r>
      <w:r>
        <w:t xml:space="preserve"> Leviticus 27:9, 10</w:t>
      </w:r>
    </w:p>
  </w:endnote>
  <w:endnote w:id="21">
    <w:p w:rsidR="00EB205B" w:rsidRDefault="00EB205B">
      <w:pPr>
        <w:pStyle w:val="EndnoteText"/>
      </w:pPr>
      <w:r>
        <w:rPr>
          <w:rStyle w:val="EndnoteReference"/>
        </w:rPr>
        <w:endnoteRef/>
      </w:r>
      <w:r>
        <w:t xml:space="preserve"> Exodus 3:1; Numbers 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0050" w:rsidRDefault="00840050">
      <w:r>
        <w:separator/>
      </w:r>
    </w:p>
  </w:footnote>
  <w:footnote w:type="continuationSeparator" w:id="0">
    <w:p w:rsidR="00840050" w:rsidRDefault="00840050">
      <w:r>
        <w:continuationSeparator/>
      </w:r>
    </w:p>
  </w:footnote>
  <w:footnote w:id="1">
    <w:p w:rsidR="00EB205B" w:rsidRDefault="00EB205B">
      <w:pPr>
        <w:pStyle w:val="FootnoteText"/>
      </w:pPr>
      <w:r>
        <w:rPr>
          <w:rStyle w:val="FootnoteReference"/>
        </w:rPr>
        <w:footnoteRef/>
      </w:r>
      <w:r>
        <w:t xml:space="preserve"> </w:t>
      </w:r>
      <w:r>
        <w:t>Or “soul.”</w:t>
      </w:r>
    </w:p>
  </w:footnote>
  <w:footnote w:id="2">
    <w:p w:rsidR="00EB205B" w:rsidRDefault="00EB205B">
      <w:pPr>
        <w:pStyle w:val="FootnoteText"/>
      </w:pPr>
      <w:r>
        <w:rPr>
          <w:rStyle w:val="FootnoteReference"/>
        </w:rPr>
        <w:footnoteRef/>
      </w:r>
      <w:r>
        <w:t xml:space="preserve"> </w:t>
      </w:r>
      <w:r>
        <w:t>A shekel equaled 11.4 g (0.367 oz t). See App. B14.</w:t>
      </w:r>
    </w:p>
  </w:footnote>
  <w:footnote w:id="3">
    <w:p w:rsidR="00EB205B" w:rsidRDefault="00EB205B">
      <w:pPr>
        <w:pStyle w:val="FootnoteText"/>
      </w:pPr>
      <w:r>
        <w:rPr>
          <w:rStyle w:val="FootnoteReference"/>
        </w:rPr>
        <w:footnoteRef/>
      </w:r>
      <w:r>
        <w:t xml:space="preserve"> </w:t>
      </w:r>
      <w:r>
        <w:t>Or “by the holy shekel.”</w:t>
      </w:r>
    </w:p>
  </w:footnote>
  <w:footnote w:id="4">
    <w:p w:rsidR="00EB205B" w:rsidRDefault="00EB205B">
      <w:pPr>
        <w:pStyle w:val="FootnoteText"/>
      </w:pPr>
      <w:r>
        <w:rPr>
          <w:rStyle w:val="FootnoteReference"/>
        </w:rPr>
        <w:footnoteRef/>
      </w:r>
      <w:r>
        <w:t xml:space="preserve"> </w:t>
      </w:r>
      <w:r>
        <w:t>A homer equaled 220 L (200 dry qt). See App. B14.</w:t>
      </w:r>
    </w:p>
  </w:footnote>
  <w:footnote w:id="5">
    <w:p w:rsidR="00EB205B" w:rsidRDefault="00EB205B">
      <w:pPr>
        <w:pStyle w:val="FootnoteText"/>
      </w:pPr>
      <w:r>
        <w:rPr>
          <w:rStyle w:val="FootnoteReference"/>
        </w:rPr>
        <w:footnoteRef/>
      </w:r>
      <w:r>
        <w:t xml:space="preserve"> </w:t>
      </w:r>
      <w:r>
        <w:t>A gerah equaled 0.57 g (0.01835 oz t). See App. B14.</w:t>
      </w:r>
    </w:p>
  </w:footnote>
  <w:footnote w:id="6">
    <w:p w:rsidR="00EB205B" w:rsidRDefault="00EB205B">
      <w:pPr>
        <w:pStyle w:val="FootnoteText"/>
      </w:pPr>
      <w:r>
        <w:rPr>
          <w:rStyle w:val="FootnoteReference"/>
        </w:rPr>
        <w:footnoteRef/>
      </w:r>
      <w:r>
        <w:t xml:space="preserve"> </w:t>
      </w:r>
      <w:r>
        <w:t>Or “devotes to destruction.”</w:t>
      </w:r>
    </w:p>
  </w:footnote>
  <w:footnote w:id="7">
    <w:p w:rsidR="00EB205B" w:rsidRDefault="00EB205B">
      <w:pPr>
        <w:pStyle w:val="FootnoteText"/>
      </w:pPr>
      <w:r>
        <w:rPr>
          <w:rStyle w:val="FootnoteReference"/>
        </w:rPr>
        <w:footnoteRef/>
      </w:r>
      <w:r>
        <w:t xml:space="preserve"> </w:t>
      </w:r>
      <w:r>
        <w:t>Or “devoted.”</w:t>
      </w:r>
    </w:p>
  </w:footnote>
  <w:footnote w:id="8">
    <w:p w:rsidR="00EB205B" w:rsidRDefault="00EB205B">
      <w:pPr>
        <w:pStyle w:val="FootnoteText"/>
      </w:pPr>
      <w:r>
        <w:rPr>
          <w:rStyle w:val="FootnoteReference"/>
        </w:rPr>
        <w:footnoteRef/>
      </w:r>
      <w:r>
        <w:t xml:space="preserve"> </w:t>
      </w:r>
      <w:r>
        <w:t>Or “Every tithe.”</w:t>
      </w:r>
    </w:p>
  </w:footnote>
  <w:footnote w:id="9">
    <w:p w:rsidR="00EB205B" w:rsidRDefault="00EB205B">
      <w:pPr>
        <w:pStyle w:val="FootnoteText"/>
      </w:pPr>
      <w:r>
        <w:rPr>
          <w:rStyle w:val="FootnoteReference"/>
        </w:rPr>
        <w:footnoteRef/>
      </w:r>
      <w:r>
        <w:t xml:space="preserve"> </w:t>
      </w:r>
      <w:r>
        <w:t>Lit., “head.”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B205B">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B205B">
        <w:t>Leviticus Chapter 27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B205B">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B205B">
      <w:rPr>
        <w:noProof/>
        <w:snapToGrid w:val="0"/>
      </w:rPr>
      <w:t>Leviticus 27.Advisor.docx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B205B">
        <w:t>Leviticus Chapter 27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B205B">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B205B">
      <w:rPr>
        <w:noProof/>
        <w:snapToGrid w:val="0"/>
      </w:rPr>
      <w:t>Leviticus 27.Advisor.docx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B205B">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B205B">
      <w:t>&lt;not set&gt;</w:t>
    </w:r>
    <w:r>
      <w:fldChar w:fldCharType="end"/>
    </w:r>
    <w:r>
      <w:tab/>
      <w:t xml:space="preserve">Checker: </w:t>
    </w:r>
    <w:r>
      <w:fldChar w:fldCharType="begin"/>
    </w:r>
    <w:r>
      <w:instrText xml:space="preserve"> DOCPROPERTY "_RoleChecker" </w:instrText>
    </w:r>
    <w:r>
      <w:fldChar w:fldCharType="separate"/>
    </w:r>
    <w:r w:rsidR="00EB205B">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B205B">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0050"/>
    <w:rsid w:val="00245EDD"/>
    <w:rsid w:val="0026230D"/>
    <w:rsid w:val="002B524D"/>
    <w:rsid w:val="002C00A8"/>
    <w:rsid w:val="002C70E3"/>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40050"/>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B205B"/>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a11a423f3dec4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B205B"/>
    <w:pPr>
      <w:spacing w:line="240" w:lineRule="auto"/>
    </w:pPr>
    <w:rPr>
      <w:sz w:val="20"/>
      <w:szCs w:val="20"/>
    </w:rPr>
  </w:style>
  <w:style w:type="character" w:customStyle="1" w:styleId="FootnoteTextChar">
    <w:name w:val="Footnote Text Char"/>
    <w:basedOn w:val="DefaultParagraphFont"/>
    <w:link w:val="FootnoteText"/>
    <w:rsid w:val="00EB205B"/>
    <w:rPr>
      <w:rFonts w:ascii="Arial" w:eastAsia="Times New Roman" w:hAnsi="Arial" w:cs="Latha"/>
      <w:lang w:val="en-US" w:eastAsia="en-US" w:bidi="ta-IN"/>
    </w:rPr>
  </w:style>
  <w:style w:type="character" w:styleId="FootnoteReference">
    <w:name w:val="footnote reference"/>
    <w:basedOn w:val="DefaultParagraphFont"/>
    <w:rsid w:val="00EB205B"/>
    <w:rPr>
      <w:vertAlign w:val="superscript"/>
    </w:rPr>
  </w:style>
  <w:style w:type="paragraph" w:styleId="EndnoteText">
    <w:name w:val="endnote text"/>
    <w:basedOn w:val="Normal"/>
    <w:link w:val="EndnoteTextChar"/>
    <w:rsid w:val="00EB205B"/>
    <w:pPr>
      <w:spacing w:line="240" w:lineRule="auto"/>
    </w:pPr>
    <w:rPr>
      <w:sz w:val="20"/>
      <w:szCs w:val="20"/>
    </w:rPr>
  </w:style>
  <w:style w:type="character" w:customStyle="1" w:styleId="EndnoteTextChar">
    <w:name w:val="Endnote Text Char"/>
    <w:basedOn w:val="DefaultParagraphFont"/>
    <w:link w:val="EndnoteText"/>
    <w:rsid w:val="00EB205B"/>
    <w:rPr>
      <w:rFonts w:ascii="Arial" w:eastAsia="Times New Roman" w:hAnsi="Arial" w:cs="Latha"/>
      <w:lang w:val="en-US" w:eastAsia="en-US" w:bidi="ta-IN"/>
    </w:rPr>
  </w:style>
  <w:style w:type="character" w:styleId="EndnoteReference">
    <w:name w:val="endnote reference"/>
    <w:basedOn w:val="DefaultParagraphFont"/>
    <w:rsid w:val="00EB205B"/>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B205B"/>
    <w:pPr>
      <w:spacing w:line="240" w:lineRule="auto"/>
    </w:pPr>
    <w:rPr>
      <w:sz w:val="20"/>
      <w:szCs w:val="20"/>
    </w:rPr>
  </w:style>
  <w:style w:type="character" w:customStyle="1" w:styleId="FootnoteTextChar">
    <w:name w:val="Footnote Text Char"/>
    <w:basedOn w:val="DefaultParagraphFont"/>
    <w:link w:val="FootnoteText"/>
    <w:rsid w:val="00EB205B"/>
    <w:rPr>
      <w:rFonts w:ascii="Arial" w:eastAsia="Times New Roman" w:hAnsi="Arial" w:cs="Latha"/>
      <w:lang w:val="en-US" w:eastAsia="en-US" w:bidi="ta-IN"/>
    </w:rPr>
  </w:style>
  <w:style w:type="character" w:styleId="FootnoteReference">
    <w:name w:val="footnote reference"/>
    <w:basedOn w:val="DefaultParagraphFont"/>
    <w:rsid w:val="00EB205B"/>
    <w:rPr>
      <w:vertAlign w:val="superscript"/>
    </w:rPr>
  </w:style>
  <w:style w:type="paragraph" w:styleId="EndnoteText">
    <w:name w:val="endnote text"/>
    <w:basedOn w:val="Normal"/>
    <w:link w:val="EndnoteTextChar"/>
    <w:rsid w:val="00EB205B"/>
    <w:pPr>
      <w:spacing w:line="240" w:lineRule="auto"/>
    </w:pPr>
    <w:rPr>
      <w:sz w:val="20"/>
      <w:szCs w:val="20"/>
    </w:rPr>
  </w:style>
  <w:style w:type="character" w:customStyle="1" w:styleId="EndnoteTextChar">
    <w:name w:val="Endnote Text Char"/>
    <w:basedOn w:val="DefaultParagraphFont"/>
    <w:link w:val="EndnoteText"/>
    <w:rsid w:val="00EB205B"/>
    <w:rPr>
      <w:rFonts w:ascii="Arial" w:eastAsia="Times New Roman" w:hAnsi="Arial" w:cs="Latha"/>
      <w:lang w:val="en-US" w:eastAsia="en-US" w:bidi="ta-IN"/>
    </w:rPr>
  </w:style>
  <w:style w:type="character" w:styleId="EndnoteReference">
    <w:name w:val="endnote reference"/>
    <w:basedOn w:val="DefaultParagraphFont"/>
    <w:rsid w:val="00EB20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a11a423f3dec49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982</ap:Words>
  <ap:Characters>4080</ap:Characters>
  <ap:Application>Microsoft Office Word</ap:Application>
  <ap:DocSecurity>0</ap:DocSecurity>
  <ap:Lines>66</ap:Lines>
  <ap:Paragraphs>13</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5049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27</dc:title>
  <dc:subject/>
  <dc:creator>David Waterson</dc:creator>
  <cp:keywords/>
  <dc:description/>
  <cp:lastModifiedBy>David Waterson</cp:lastModifiedBy>
  <cp:revision>3</cp:revision>
  <dcterms:created xsi:type="dcterms:W3CDTF">2019-08-04T14:07:00Z</dcterms:created>
  <dcterms:modified xsi:type="dcterms:W3CDTF">2019-08-04T14:07:00Z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27.docx</vt:lpwstr>
  </property>
  <property fmtid="{D5CDD505-2E9C-101B-9397-08002B2CF9AE}" pid="9" name="_TranslationDocumentId">
    <vt:i4>19447</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3027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27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