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64F3" w:rsidRDefault="000764F3" w:rsidP="000764F3">
      <w:pPr>
        <w:rPr>
          <w:rFonts w:eastAsia="Segoe UI" w:cs="Arial"/>
        </w:rPr>
      </w:pPr>
      <w:bookmarkStart w:id="0" w:name="_GoBack"/>
      <w:bookmarkEnd w:id="0"/>
      <w:r>
        <w:rPr>
          <w:rFonts w:eastAsia="Segoe UI" w:cs="Arial"/>
          <w:b/>
        </w:rPr>
        <w:t xml:space="preserve">5:1 </w:t>
      </w:r>
      <w:r>
        <w:rPr>
          <w:rFonts w:eastAsia="Segoe UI" w:cs="Arial"/>
        </w:rPr>
        <w:t xml:space="preserve">Jehovah spoke further to Moses, saying: </w:t>
      </w:r>
      <w:r>
        <w:rPr>
          <w:rFonts w:eastAsia="Segoe UI" w:cs="Arial"/>
          <w:b/>
        </w:rPr>
        <w:t xml:space="preserve">2 </w:t>
      </w:r>
      <w:r>
        <w:rPr>
          <w:rFonts w:eastAsia="Segoe UI" w:cs="Arial"/>
        </w:rPr>
        <w:t>“Command the Israelites to send out of the camp every leprous person</w:t>
      </w:r>
      <w:r w:rsidR="00796690">
        <w:rPr>
          <w:rStyle w:val="EndnoteReference"/>
          <w:rFonts w:eastAsia="Segoe UI" w:cs="Arial"/>
        </w:rPr>
        <w:endnoteReference w:id="1"/>
      </w:r>
      <w:r>
        <w:rPr>
          <w:rFonts w:eastAsia="Segoe UI" w:cs="Arial"/>
        </w:rPr>
        <w:t xml:space="preserve"> and everyone having a discharge</w:t>
      </w:r>
      <w:r w:rsidR="00796690">
        <w:rPr>
          <w:rStyle w:val="EndnoteReference"/>
          <w:rFonts w:eastAsia="Segoe UI" w:cs="Arial"/>
        </w:rPr>
        <w:endnoteReference w:id="2"/>
      </w:r>
      <w:r>
        <w:rPr>
          <w:rFonts w:eastAsia="Segoe UI" w:cs="Arial"/>
        </w:rPr>
        <w:t xml:space="preserve"> and everyone unclean by a dead person.</w:t>
      </w:r>
      <w:r w:rsidR="00796690">
        <w:rPr>
          <w:rStyle w:val="FootnoteReference"/>
          <w:rFonts w:eastAsia="Segoe UI" w:cs="Arial"/>
        </w:rPr>
        <w:footnoteReference w:id="1"/>
      </w:r>
      <w:r w:rsidR="00796690">
        <w:rPr>
          <w:rStyle w:val="EndnoteReference"/>
          <w:rFonts w:eastAsia="Segoe UI" w:cs="Arial"/>
        </w:rPr>
        <w:endnoteReference w:id="3"/>
      </w:r>
      <w:r>
        <w:rPr>
          <w:rFonts w:ascii="MEPS Bookman WTS" w:eastAsia="Segoe UI" w:hAnsi="MEPS Bookman WTS" w:cs="Segoe UI"/>
        </w:rPr>
        <w:t xml:space="preserve"> </w:t>
      </w:r>
      <w:r>
        <w:rPr>
          <w:rFonts w:eastAsia="Segoe UI" w:cs="Arial"/>
          <w:b/>
        </w:rPr>
        <w:t xml:space="preserve">3 </w:t>
      </w:r>
      <w:r>
        <w:rPr>
          <w:rFonts w:eastAsia="Segoe UI" w:cs="Arial"/>
        </w:rPr>
        <w:t>Whether a male or a female, you should send them out. You should send them outside the camp, so that they may not contaminate</w:t>
      </w:r>
      <w:r w:rsidR="00796690">
        <w:rPr>
          <w:rStyle w:val="EndnoteReference"/>
          <w:rFonts w:eastAsia="Segoe UI" w:cs="Arial"/>
        </w:rPr>
        <w:endnoteReference w:id="4"/>
      </w:r>
      <w:r>
        <w:rPr>
          <w:rFonts w:eastAsia="Segoe UI" w:cs="Arial"/>
        </w:rPr>
        <w:t xml:space="preserve"> the camps of those in whose midst I am dwelling.”</w:t>
      </w:r>
      <w:r w:rsidR="00796690">
        <w:rPr>
          <w:rStyle w:val="FootnoteReference"/>
          <w:rFonts w:eastAsia="Segoe UI" w:cs="Arial"/>
        </w:rPr>
        <w:footnoteReference w:id="2"/>
      </w:r>
      <w:r w:rsidR="00796690">
        <w:rPr>
          <w:rStyle w:val="EndnoteReference"/>
          <w:rFonts w:eastAsia="Segoe UI" w:cs="Arial"/>
        </w:rPr>
        <w:endnoteReference w:id="5"/>
      </w:r>
      <w:r>
        <w:rPr>
          <w:rFonts w:ascii="MEPS Bookman WTS" w:eastAsia="Segoe UI" w:hAnsi="MEPS Bookman WTS" w:cs="Segoe UI"/>
        </w:rPr>
        <w:t xml:space="preserve"> </w:t>
      </w:r>
      <w:r>
        <w:rPr>
          <w:rFonts w:eastAsia="Segoe UI" w:cs="Arial"/>
          <w:b/>
        </w:rPr>
        <w:t xml:space="preserve">4 </w:t>
      </w:r>
      <w:r>
        <w:rPr>
          <w:rFonts w:eastAsia="Segoe UI" w:cs="Arial"/>
        </w:rPr>
        <w:t>Therefore, the Israelites did so and sent them outside the camp. Just as Jehovah told Moses, so the Israelites did.</w:t>
      </w:r>
    </w:p>
    <w:p w:rsidR="000764F3" w:rsidRDefault="000764F3" w:rsidP="000764F3">
      <w:pPr>
        <w:rPr>
          <w:rFonts w:ascii="MEPS Bookman WTS" w:eastAsia="Segoe UI" w:hAnsi="MEPS Bookman WTS" w:cs="Segoe UI"/>
        </w:rPr>
      </w:pPr>
      <w:r>
        <w:rPr>
          <w:rFonts w:eastAsia="Segoe UI" w:cs="Arial"/>
          <w:b/>
        </w:rPr>
        <w:t xml:space="preserve">5 </w:t>
      </w:r>
      <w:r>
        <w:rPr>
          <w:rFonts w:eastAsia="Segoe UI" w:cs="Arial"/>
        </w:rPr>
        <w:t xml:space="preserve">Jehovah continued speaking to Moses, saying: </w:t>
      </w:r>
      <w:r>
        <w:rPr>
          <w:rFonts w:eastAsia="Segoe UI" w:cs="Arial"/>
          <w:b/>
        </w:rPr>
        <w:t xml:space="preserve">6 </w:t>
      </w:r>
      <w:r>
        <w:rPr>
          <w:rFonts w:eastAsia="Segoe UI" w:cs="Arial"/>
        </w:rPr>
        <w:t>“Tell the Israelites, ‘If a man or a woman commits any of the sins of mankind and acts unfaithfully toward Jehovah, that person</w:t>
      </w:r>
      <w:r w:rsidR="00796690">
        <w:rPr>
          <w:rStyle w:val="FootnoteReference"/>
          <w:rFonts w:eastAsia="Segoe UI" w:cs="Arial"/>
        </w:rPr>
        <w:footnoteReference w:id="3"/>
      </w:r>
      <w:r>
        <w:rPr>
          <w:rFonts w:eastAsia="Segoe UI" w:cs="Arial"/>
        </w:rPr>
        <w:t xml:space="preserve"> has become guilty.</w:t>
      </w:r>
      <w:r w:rsidR="00796690">
        <w:rPr>
          <w:rStyle w:val="EndnoteReference"/>
          <w:rFonts w:eastAsia="Segoe UI" w:cs="Arial"/>
        </w:rPr>
        <w:endnoteReference w:id="6"/>
      </w:r>
      <w:r>
        <w:rPr>
          <w:rFonts w:ascii="MEPS Bookman WTS" w:eastAsia="Segoe UI" w:hAnsi="MEPS Bookman WTS" w:cs="Segoe UI"/>
        </w:rPr>
        <w:t xml:space="preserve"> </w:t>
      </w:r>
      <w:r>
        <w:rPr>
          <w:rFonts w:eastAsia="Segoe UI" w:cs="Arial"/>
          <w:b/>
        </w:rPr>
        <w:t xml:space="preserve">7 </w:t>
      </w:r>
      <w:r>
        <w:rPr>
          <w:rFonts w:eastAsia="Segoe UI" w:cs="Arial"/>
        </w:rPr>
        <w:t>He</w:t>
      </w:r>
      <w:r w:rsidR="00796690">
        <w:rPr>
          <w:rStyle w:val="FootnoteReference"/>
          <w:rFonts w:eastAsia="Segoe UI" w:cs="Arial"/>
        </w:rPr>
        <w:footnoteReference w:id="4"/>
      </w:r>
      <w:r>
        <w:rPr>
          <w:rFonts w:eastAsia="Segoe UI" w:cs="Arial"/>
        </w:rPr>
        <w:t xml:space="preserve"> must confess</w:t>
      </w:r>
      <w:r w:rsidR="00796690">
        <w:rPr>
          <w:rStyle w:val="EndnoteReference"/>
          <w:rFonts w:eastAsia="Segoe UI" w:cs="Arial"/>
        </w:rPr>
        <w:endnoteReference w:id="7"/>
      </w:r>
      <w:r>
        <w:rPr>
          <w:rFonts w:eastAsia="Segoe UI" w:cs="Arial"/>
        </w:rPr>
        <w:t xml:space="preserve"> the sin that he has</w:t>
      </w:r>
      <w:r w:rsidR="00796690">
        <w:rPr>
          <w:rStyle w:val="FootnoteReference"/>
          <w:rFonts w:eastAsia="Segoe UI" w:cs="Arial"/>
        </w:rPr>
        <w:footnoteReference w:id="5"/>
      </w:r>
      <w:r>
        <w:rPr>
          <w:rFonts w:eastAsia="Segoe UI" w:cs="Arial"/>
        </w:rPr>
        <w:t xml:space="preserve"> committed and return the full amount as compensation for his guilt and also add a fifth of its value;</w:t>
      </w:r>
      <w:r w:rsidR="00796690">
        <w:rPr>
          <w:rStyle w:val="EndnoteReference"/>
          <w:rFonts w:eastAsia="Segoe UI" w:cs="Arial"/>
        </w:rPr>
        <w:endnoteReference w:id="8"/>
      </w:r>
      <w:r>
        <w:rPr>
          <w:rFonts w:eastAsia="Segoe UI" w:cs="Arial"/>
        </w:rPr>
        <w:t xml:space="preserve"> he is to give it to the one he wronged. </w:t>
      </w:r>
      <w:r>
        <w:rPr>
          <w:rFonts w:eastAsia="Segoe UI" w:cs="Arial"/>
          <w:b/>
        </w:rPr>
        <w:t xml:space="preserve">8 </w:t>
      </w:r>
      <w:r>
        <w:rPr>
          <w:rFonts w:eastAsia="Segoe UI" w:cs="Arial"/>
        </w:rPr>
        <w:t>But if the victim does not have a close relative to receive the compensation, it should be returned to Jehovah and will belong to the priest, apart from the ram of atonement with which he will make atonement for him.</w:t>
      </w:r>
      <w:r w:rsidR="00796690">
        <w:rPr>
          <w:rStyle w:val="EndnoteReference"/>
          <w:rFonts w:eastAsia="Segoe UI" w:cs="Arial"/>
        </w:rPr>
        <w:endnoteReference w:id="9"/>
      </w:r>
    </w:p>
    <w:p w:rsidR="000764F3" w:rsidRDefault="000764F3" w:rsidP="000764F3">
      <w:pPr>
        <w:rPr>
          <w:rFonts w:eastAsia="Segoe UI" w:cs="Arial"/>
        </w:rPr>
      </w:pPr>
      <w:r>
        <w:rPr>
          <w:rFonts w:eastAsia="Segoe UI" w:cs="Arial"/>
          <w:b/>
        </w:rPr>
        <w:t xml:space="preserve">9 </w:t>
      </w:r>
      <w:r>
        <w:rPr>
          <w:rFonts w:eastAsia="Segoe UI" w:cs="Arial"/>
        </w:rPr>
        <w:t>“‘Every holy contribution</w:t>
      </w:r>
      <w:r w:rsidR="00796690">
        <w:rPr>
          <w:rStyle w:val="EndnoteReference"/>
          <w:rFonts w:eastAsia="Segoe UI" w:cs="Arial"/>
        </w:rPr>
        <w:endnoteReference w:id="10"/>
      </w:r>
      <w:r>
        <w:rPr>
          <w:rFonts w:eastAsia="Segoe UI" w:cs="Arial"/>
        </w:rPr>
        <w:t xml:space="preserve"> from the Israelites that is presented to the priest should become his.</w:t>
      </w:r>
      <w:r w:rsidR="00796690">
        <w:rPr>
          <w:rStyle w:val="EndnoteReference"/>
          <w:rFonts w:eastAsia="Segoe UI" w:cs="Arial"/>
        </w:rPr>
        <w:endnoteReference w:id="11"/>
      </w:r>
      <w:r>
        <w:rPr>
          <w:rFonts w:ascii="MEPS Bookman WTS" w:eastAsia="Segoe UI" w:hAnsi="MEPS Bookman WTS" w:cs="Segoe UI"/>
        </w:rPr>
        <w:t xml:space="preserve"> </w:t>
      </w:r>
      <w:r>
        <w:rPr>
          <w:rFonts w:eastAsia="Segoe UI" w:cs="Arial"/>
          <w:b/>
        </w:rPr>
        <w:t xml:space="preserve">10 </w:t>
      </w:r>
      <w:r>
        <w:rPr>
          <w:rFonts w:eastAsia="Segoe UI" w:cs="Arial"/>
        </w:rPr>
        <w:t>The holy things of each person will remain his own. Whatever each one gives to the priest, that will belong to the priest.’”</w:t>
      </w:r>
    </w:p>
    <w:p w:rsidR="000764F3" w:rsidRDefault="000764F3" w:rsidP="000764F3">
      <w:pPr>
        <w:rPr>
          <w:rFonts w:eastAsia="Segoe UI" w:cs="Arial"/>
        </w:rPr>
      </w:pPr>
      <w:r>
        <w:rPr>
          <w:rFonts w:eastAsia="Segoe UI" w:cs="Arial"/>
          <w:b/>
        </w:rPr>
        <w:t xml:space="preserve">11 </w:t>
      </w:r>
      <w:r>
        <w:rPr>
          <w:rFonts w:eastAsia="Segoe UI" w:cs="Arial"/>
        </w:rPr>
        <w:t xml:space="preserve">Jehovah went on to speak to Moses, saying: </w:t>
      </w:r>
      <w:r>
        <w:rPr>
          <w:rFonts w:eastAsia="Segoe UI" w:cs="Arial"/>
          <w:b/>
        </w:rPr>
        <w:t xml:space="preserve">12 </w:t>
      </w:r>
      <w:r>
        <w:rPr>
          <w:rFonts w:eastAsia="Segoe UI" w:cs="Arial"/>
        </w:rPr>
        <w:t xml:space="preserve">“Speak to the Israelites and tell them, ‘This is what should be done if a man’s wife goes astray and is unfaithful to him </w:t>
      </w:r>
      <w:r>
        <w:rPr>
          <w:rFonts w:eastAsia="Segoe UI" w:cs="Arial"/>
          <w:b/>
        </w:rPr>
        <w:t xml:space="preserve">13 </w:t>
      </w:r>
      <w:r>
        <w:rPr>
          <w:rFonts w:eastAsia="Segoe UI" w:cs="Arial"/>
        </w:rPr>
        <w:t>and another man has sexual relations with her,</w:t>
      </w:r>
      <w:r w:rsidR="00796690">
        <w:rPr>
          <w:rStyle w:val="EndnoteReference"/>
          <w:rFonts w:eastAsia="Segoe UI" w:cs="Arial"/>
        </w:rPr>
        <w:endnoteReference w:id="12"/>
      </w:r>
      <w:r>
        <w:rPr>
          <w:rFonts w:eastAsia="Segoe UI" w:cs="Arial"/>
        </w:rPr>
        <w:t xml:space="preserve"> but it was unknown to her husband and remains undiscovered, so that she has defiled herself but there is no witness against her and she has not been caught: </w:t>
      </w:r>
      <w:r>
        <w:rPr>
          <w:rFonts w:eastAsia="Segoe UI" w:cs="Arial"/>
          <w:b/>
        </w:rPr>
        <w:t xml:space="preserve">14 </w:t>
      </w:r>
      <w:r>
        <w:rPr>
          <w:rFonts w:eastAsia="Segoe UI" w:cs="Arial"/>
        </w:rPr>
        <w:t xml:space="preserve">Whether the husband becomes jealous and suspicious of his wife’s faithfulness when she has defiled herself, or whether he is jealous and suspicious of his wife’s faithfulness when she has not defiled herself, </w:t>
      </w:r>
      <w:r>
        <w:rPr>
          <w:rFonts w:eastAsia="Segoe UI" w:cs="Arial"/>
          <w:b/>
        </w:rPr>
        <w:t xml:space="preserve">15 </w:t>
      </w:r>
      <w:r>
        <w:rPr>
          <w:rFonts w:eastAsia="Segoe UI" w:cs="Arial"/>
        </w:rPr>
        <w:t>the man must bring his wife to the priest, along with an offering for her, a tenth of an e′phah</w:t>
      </w:r>
      <w:r w:rsidR="00796690">
        <w:rPr>
          <w:rStyle w:val="FootnoteReference"/>
          <w:rFonts w:eastAsia="Segoe UI" w:cs="Arial"/>
        </w:rPr>
        <w:footnoteReference w:id="6"/>
      </w:r>
      <w:r>
        <w:rPr>
          <w:rFonts w:eastAsia="Segoe UI" w:cs="Arial"/>
        </w:rPr>
        <w:t xml:space="preserve"> of barley flour. He must not pour oil on it nor put frankincense on it, because it is a grain offering of jealousy, a grain offering bringing guilt to mind.</w:t>
      </w:r>
    </w:p>
    <w:p w:rsidR="000764F3" w:rsidRDefault="000764F3" w:rsidP="000764F3">
      <w:pPr>
        <w:rPr>
          <w:rFonts w:ascii="MEPS Bookman WTS" w:eastAsia="Segoe UI" w:hAnsi="MEPS Bookman WTS" w:cs="Segoe UI"/>
        </w:rPr>
      </w:pPr>
      <w:r>
        <w:rPr>
          <w:rFonts w:eastAsia="Segoe UI" w:cs="Arial"/>
          <w:b/>
        </w:rPr>
        <w:t xml:space="preserve">16 </w:t>
      </w:r>
      <w:r>
        <w:rPr>
          <w:rFonts w:eastAsia="Segoe UI" w:cs="Arial"/>
        </w:rPr>
        <w:t>“‘The priest will bring her forward and make her stand before Jehovah.</w:t>
      </w:r>
      <w:r w:rsidR="00796690">
        <w:rPr>
          <w:rStyle w:val="EndnoteReference"/>
          <w:rFonts w:eastAsia="Segoe UI" w:cs="Arial"/>
        </w:rPr>
        <w:endnoteReference w:id="13"/>
      </w:r>
      <w:r>
        <w:rPr>
          <w:rFonts w:ascii="MEPS Bookman WTS" w:eastAsia="Segoe UI" w:hAnsi="MEPS Bookman WTS" w:cs="Segoe UI"/>
        </w:rPr>
        <w:t xml:space="preserve"> </w:t>
      </w:r>
      <w:r>
        <w:rPr>
          <w:rFonts w:eastAsia="Segoe UI" w:cs="Arial"/>
          <w:b/>
        </w:rPr>
        <w:t xml:space="preserve">17 </w:t>
      </w:r>
      <w:r>
        <w:rPr>
          <w:rFonts w:eastAsia="Segoe UI" w:cs="Arial"/>
        </w:rPr>
        <w:t xml:space="preserve">The priest will take holy water in an earthenware vessel, and the priest will take some of the dust from the floor of the tabernacle and put it in the water. </w:t>
      </w:r>
      <w:r>
        <w:rPr>
          <w:rFonts w:eastAsia="Segoe UI" w:cs="Arial"/>
          <w:b/>
        </w:rPr>
        <w:t xml:space="preserve">18 </w:t>
      </w:r>
      <w:r>
        <w:rPr>
          <w:rFonts w:eastAsia="Segoe UI" w:cs="Arial"/>
        </w:rPr>
        <w:t>And the priest will make the woman stand before Jehovah and unbind the woman’s hair and put in her palms the grain offering for a reminder, that is, the grain offering of jealousy,</w:t>
      </w:r>
      <w:r w:rsidR="00796690">
        <w:rPr>
          <w:rStyle w:val="EndnoteReference"/>
          <w:rFonts w:eastAsia="Segoe UI" w:cs="Arial"/>
        </w:rPr>
        <w:endnoteReference w:id="14"/>
      </w:r>
      <w:r>
        <w:rPr>
          <w:rFonts w:eastAsia="Segoe UI" w:cs="Arial"/>
        </w:rPr>
        <w:t xml:space="preserve"> and the priest will have in his hand the bitter water that brings a curse.</w:t>
      </w:r>
      <w:r w:rsidR="00796690">
        <w:rPr>
          <w:rStyle w:val="EndnoteReference"/>
          <w:rFonts w:eastAsia="Segoe UI" w:cs="Arial"/>
        </w:rPr>
        <w:endnoteReference w:id="15"/>
      </w:r>
    </w:p>
    <w:p w:rsidR="000764F3" w:rsidRDefault="000764F3" w:rsidP="000764F3">
      <w:pPr>
        <w:rPr>
          <w:rFonts w:ascii="MEPS Bookman WTS" w:eastAsia="Segoe UI" w:hAnsi="MEPS Bookman WTS" w:cs="Segoe UI"/>
        </w:rPr>
      </w:pPr>
      <w:r>
        <w:rPr>
          <w:rFonts w:eastAsia="Segoe UI" w:cs="Arial"/>
          <w:b/>
        </w:rPr>
        <w:t xml:space="preserve">19 </w:t>
      </w:r>
      <w:r>
        <w:rPr>
          <w:rFonts w:eastAsia="Segoe UI" w:cs="Arial"/>
        </w:rPr>
        <w:t>“‘The priest will then make her swear, saying to the woman: “If no other man had sexual relations with you while you were under your husband’s authority</w:t>
      </w:r>
      <w:r w:rsidR="00796690">
        <w:rPr>
          <w:rStyle w:val="EndnoteReference"/>
          <w:rFonts w:eastAsia="Segoe UI" w:cs="Arial"/>
        </w:rPr>
        <w:endnoteReference w:id="16"/>
      </w:r>
      <w:r>
        <w:rPr>
          <w:rFonts w:eastAsia="Segoe UI" w:cs="Arial"/>
        </w:rPr>
        <w:t xml:space="preserve"> and you have not gone astray and become defiled, may you be free of the effect of this bitter water that brings a curse. </w:t>
      </w:r>
      <w:r>
        <w:rPr>
          <w:rFonts w:eastAsia="Segoe UI" w:cs="Arial"/>
          <w:b/>
        </w:rPr>
        <w:t xml:space="preserve">20 </w:t>
      </w:r>
      <w:r>
        <w:rPr>
          <w:rFonts w:eastAsia="Segoe UI" w:cs="Arial"/>
        </w:rPr>
        <w:t>But if you have gone astray while under your husband’s authority by defiling yourself, and you have had sexual relations with another man</w:t>
      </w:r>
      <w:r w:rsidR="00796690">
        <w:rPr>
          <w:rStyle w:val="EndnoteReference"/>
          <w:rFonts w:eastAsia="Segoe UI" w:cs="Arial"/>
        </w:rPr>
        <w:endnoteReference w:id="17"/>
      </w:r>
      <w:r>
        <w:rPr>
          <w:rFonts w:eastAsia="Segoe UI" w:cs="Arial"/>
        </w:rPr>
        <w:t xml:space="preserve"> besides your husband—” </w:t>
      </w:r>
      <w:r>
        <w:rPr>
          <w:rFonts w:eastAsia="Segoe UI" w:cs="Arial"/>
          <w:b/>
        </w:rPr>
        <w:t xml:space="preserve">21 </w:t>
      </w:r>
      <w:r>
        <w:rPr>
          <w:rFonts w:eastAsia="Segoe UI" w:cs="Arial"/>
        </w:rPr>
        <w:t>The priest will then make the woman swear an oath that includes a curse, and the priest will say to the woman: “May Jehovah make you an object for cursing and for an oath among your people, as Jehovah makes your thigh</w:t>
      </w:r>
      <w:r w:rsidR="00796690">
        <w:rPr>
          <w:rStyle w:val="FootnoteReference"/>
          <w:rFonts w:eastAsia="Segoe UI" w:cs="Arial"/>
        </w:rPr>
        <w:footnoteReference w:id="7"/>
      </w:r>
      <w:r>
        <w:rPr>
          <w:rFonts w:eastAsia="Segoe UI" w:cs="Arial"/>
        </w:rPr>
        <w:t xml:space="preserve"> fall away</w:t>
      </w:r>
      <w:r w:rsidR="00796690">
        <w:rPr>
          <w:rStyle w:val="FootnoteReference"/>
          <w:rFonts w:eastAsia="Segoe UI" w:cs="Arial"/>
        </w:rPr>
        <w:footnoteReference w:id="8"/>
      </w:r>
      <w:r>
        <w:rPr>
          <w:rFonts w:eastAsia="Segoe UI" w:cs="Arial"/>
        </w:rPr>
        <w:t xml:space="preserve"> and causes your abdomen to swell. </w:t>
      </w:r>
      <w:r>
        <w:rPr>
          <w:rFonts w:eastAsia="Segoe UI" w:cs="Arial"/>
          <w:b/>
        </w:rPr>
        <w:t xml:space="preserve">22 </w:t>
      </w:r>
      <w:r>
        <w:rPr>
          <w:rFonts w:eastAsia="Segoe UI" w:cs="Arial"/>
        </w:rPr>
        <w:t>This water that brings a curse will enter into your intestines to cause your abdomen to swell and make your thigh</w:t>
      </w:r>
      <w:r w:rsidR="00796690">
        <w:rPr>
          <w:rStyle w:val="FootnoteReference"/>
          <w:rFonts w:eastAsia="Segoe UI" w:cs="Arial"/>
        </w:rPr>
        <w:footnoteReference w:id="9"/>
      </w:r>
      <w:r>
        <w:rPr>
          <w:rFonts w:eastAsia="Segoe UI" w:cs="Arial"/>
        </w:rPr>
        <w:t xml:space="preserve"> fall away.”</w:t>
      </w:r>
      <w:r w:rsidR="00796690">
        <w:rPr>
          <w:rStyle w:val="FootnoteReference"/>
          <w:rFonts w:eastAsia="Segoe UI" w:cs="Arial"/>
        </w:rPr>
        <w:footnoteReference w:id="10"/>
      </w:r>
      <w:r>
        <w:rPr>
          <w:rFonts w:eastAsia="Segoe UI" w:cs="Arial"/>
        </w:rPr>
        <w:t xml:space="preserve"> To this the woman should say: “Amen! Amen!”</w:t>
      </w:r>
      <w:r w:rsidR="00796690">
        <w:rPr>
          <w:rStyle w:val="FootnoteReference"/>
          <w:rFonts w:eastAsia="Segoe UI" w:cs="Arial"/>
        </w:rPr>
        <w:footnoteReference w:id="11"/>
      </w:r>
    </w:p>
    <w:p w:rsidR="000764F3" w:rsidRDefault="000764F3" w:rsidP="000764F3">
      <w:pPr>
        <w:rPr>
          <w:rFonts w:eastAsia="Segoe UI" w:cs="Arial"/>
        </w:rPr>
      </w:pPr>
      <w:r>
        <w:rPr>
          <w:rFonts w:eastAsia="Segoe UI" w:cs="Arial"/>
          <w:b/>
        </w:rPr>
        <w:t xml:space="preserve">23 </w:t>
      </w:r>
      <w:r>
        <w:rPr>
          <w:rFonts w:eastAsia="Segoe UI" w:cs="Arial"/>
        </w:rPr>
        <w:t xml:space="preserve">“‘Then the priest should write these curses in the book and wash them off into the bitter water. </w:t>
      </w:r>
      <w:r>
        <w:rPr>
          <w:rFonts w:eastAsia="Segoe UI" w:cs="Arial"/>
          <w:b/>
        </w:rPr>
        <w:t xml:space="preserve">24 </w:t>
      </w:r>
      <w:r>
        <w:rPr>
          <w:rFonts w:eastAsia="Segoe UI" w:cs="Arial"/>
        </w:rPr>
        <w:t xml:space="preserve">He will then make the woman drink the bitter water that brings a curse, and the water that brings a curse will enter into her and produce bitterness. </w:t>
      </w:r>
      <w:r>
        <w:rPr>
          <w:rFonts w:eastAsia="Segoe UI" w:cs="Arial"/>
          <w:b/>
        </w:rPr>
        <w:t xml:space="preserve">25 </w:t>
      </w:r>
      <w:r>
        <w:rPr>
          <w:rFonts w:eastAsia="Segoe UI" w:cs="Arial"/>
        </w:rPr>
        <w:t>And the priest should take the grain offering of jealousy</w:t>
      </w:r>
      <w:r w:rsidR="00796690">
        <w:rPr>
          <w:rStyle w:val="EndnoteReference"/>
          <w:rFonts w:eastAsia="Segoe UI" w:cs="Arial"/>
        </w:rPr>
        <w:endnoteReference w:id="18"/>
      </w:r>
      <w:r>
        <w:rPr>
          <w:rFonts w:eastAsia="Segoe UI" w:cs="Arial"/>
        </w:rPr>
        <w:t xml:space="preserve"> from the woman’s hand and wave the grain offering back and forth before Jehovah, and he will bring it near the altar. </w:t>
      </w:r>
      <w:r>
        <w:rPr>
          <w:rFonts w:eastAsia="Segoe UI" w:cs="Arial"/>
          <w:b/>
        </w:rPr>
        <w:t xml:space="preserve">26 </w:t>
      </w:r>
      <w:r>
        <w:rPr>
          <w:rFonts w:eastAsia="Segoe UI" w:cs="Arial"/>
        </w:rPr>
        <w:t>The priest will take a handful of the grain offering as a token offering and make it smoke on the altar,</w:t>
      </w:r>
      <w:r w:rsidR="00796690">
        <w:rPr>
          <w:rStyle w:val="EndnoteReference"/>
          <w:rFonts w:eastAsia="Segoe UI" w:cs="Arial"/>
        </w:rPr>
        <w:endnoteReference w:id="19"/>
      </w:r>
      <w:r>
        <w:rPr>
          <w:rFonts w:eastAsia="Segoe UI" w:cs="Arial"/>
        </w:rPr>
        <w:t xml:space="preserve"> and afterward he will make the woman drink the water. </w:t>
      </w:r>
      <w:r>
        <w:rPr>
          <w:rFonts w:eastAsia="Segoe UI" w:cs="Arial"/>
          <w:b/>
        </w:rPr>
        <w:t xml:space="preserve">27 </w:t>
      </w:r>
      <w:r>
        <w:rPr>
          <w:rFonts w:eastAsia="Segoe UI" w:cs="Arial"/>
        </w:rPr>
        <w:t>When he makes her drink the water, if she has defiled herself and committed an act of unfaithfulness toward her husband, the water that brings a curse will then enter into her and become something bitter, and her abdomen will swell, and her thigh</w:t>
      </w:r>
      <w:r w:rsidR="00796690">
        <w:rPr>
          <w:rStyle w:val="FootnoteReference"/>
          <w:rFonts w:eastAsia="Segoe UI" w:cs="Arial"/>
        </w:rPr>
        <w:footnoteReference w:id="12"/>
      </w:r>
      <w:r>
        <w:rPr>
          <w:rFonts w:eastAsia="Segoe UI" w:cs="Arial"/>
        </w:rPr>
        <w:t xml:space="preserve"> will fall away,</w:t>
      </w:r>
      <w:r w:rsidR="00796690">
        <w:rPr>
          <w:rStyle w:val="FootnoteReference"/>
          <w:rFonts w:eastAsia="Segoe UI" w:cs="Arial"/>
        </w:rPr>
        <w:footnoteReference w:id="13"/>
      </w:r>
      <w:r>
        <w:rPr>
          <w:rFonts w:eastAsia="Segoe UI" w:cs="Arial"/>
        </w:rPr>
        <w:t xml:space="preserve"> and the woman will become an object of cursing among her people. </w:t>
      </w:r>
      <w:r>
        <w:rPr>
          <w:rFonts w:eastAsia="Segoe UI" w:cs="Arial"/>
          <w:b/>
        </w:rPr>
        <w:t xml:space="preserve">28 </w:t>
      </w:r>
      <w:r>
        <w:rPr>
          <w:rFonts w:eastAsia="Segoe UI" w:cs="Arial"/>
        </w:rPr>
        <w:t>However, if the woman has not defiled herself and is clean, she will then be free from such punishment, and she will be able to conceive and produce offspring.</w:t>
      </w:r>
    </w:p>
    <w:p w:rsidR="000764F3" w:rsidRDefault="000764F3" w:rsidP="000764F3">
      <w:pPr>
        <w:rPr>
          <w:rFonts w:eastAsia="Segoe UI" w:cs="Arial"/>
        </w:rPr>
      </w:pPr>
      <w:r>
        <w:rPr>
          <w:rFonts w:eastAsia="Segoe UI" w:cs="Arial"/>
          <w:b/>
        </w:rPr>
        <w:t xml:space="preserve">29 </w:t>
      </w:r>
      <w:r>
        <w:rPr>
          <w:rFonts w:eastAsia="Segoe UI" w:cs="Arial"/>
        </w:rPr>
        <w:t>“‘This is the law about jealousy,</w:t>
      </w:r>
      <w:r w:rsidR="00796690">
        <w:rPr>
          <w:rStyle w:val="EndnoteReference"/>
          <w:rFonts w:eastAsia="Segoe UI" w:cs="Arial"/>
        </w:rPr>
        <w:endnoteReference w:id="20"/>
      </w:r>
      <w:r>
        <w:rPr>
          <w:rFonts w:eastAsia="Segoe UI" w:cs="Arial"/>
        </w:rPr>
        <w:t xml:space="preserve"> when a woman may go astray and defile herself while under her husband’s authority, </w:t>
      </w:r>
      <w:r>
        <w:rPr>
          <w:rFonts w:eastAsia="Segoe UI" w:cs="Arial"/>
          <w:b/>
        </w:rPr>
        <w:t xml:space="preserve">30 </w:t>
      </w:r>
      <w:r>
        <w:rPr>
          <w:rFonts w:eastAsia="Segoe UI" w:cs="Arial"/>
        </w:rPr>
        <w:t xml:space="preserve">or in the case of a man who becomes jealous and suspects his wife of unfaithfulness; he should make his wife stand before Jehovah, and the priest must carry out toward her all this law. </w:t>
      </w:r>
      <w:r>
        <w:rPr>
          <w:rFonts w:eastAsia="Segoe UI" w:cs="Arial"/>
          <w:b/>
        </w:rPr>
        <w:t xml:space="preserve">31 </w:t>
      </w:r>
      <w:r>
        <w:rPr>
          <w:rFonts w:eastAsia="Segoe UI" w:cs="Arial"/>
        </w:rPr>
        <w:t>The man will be free from guilt, but his wife will answer for her guilt.’”</w:t>
      </w:r>
    </w:p>
    <w:p w:rsidR="00762BCB" w:rsidRPr="000764F3" w:rsidRDefault="00762BCB" w:rsidP="000764F3"/>
    <w:sectPr w:rsidR="00762BCB" w:rsidRPr="000764F3"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E1C3C" w:rsidRDefault="005E1C3C">
      <w:r>
        <w:separator/>
      </w:r>
    </w:p>
  </w:endnote>
  <w:endnote w:type="continuationSeparator" w:id="0">
    <w:p w:rsidR="005E1C3C" w:rsidRDefault="005E1C3C">
      <w:r>
        <w:continuationSeparator/>
      </w:r>
    </w:p>
  </w:endnote>
  <w:endnote w:id="1">
    <w:p w:rsidR="00796690" w:rsidRDefault="00796690">
      <w:pPr>
        <w:pStyle w:val="EndnoteText"/>
      </w:pPr>
      <w:r>
        <w:rPr>
          <w:rStyle w:val="EndnoteReference"/>
        </w:rPr>
        <w:endnoteRef/>
      </w:r>
      <w:r>
        <w:t xml:space="preserve"> Leviticus 13:45, 46</w:t>
      </w:r>
    </w:p>
  </w:endnote>
  <w:endnote w:id="2">
    <w:p w:rsidR="00796690" w:rsidRDefault="00796690">
      <w:pPr>
        <w:pStyle w:val="EndnoteText"/>
      </w:pPr>
      <w:r>
        <w:rPr>
          <w:rStyle w:val="EndnoteReference"/>
        </w:rPr>
        <w:endnoteRef/>
      </w:r>
      <w:r>
        <w:t xml:space="preserve"> Leviticus 15:2</w:t>
      </w:r>
    </w:p>
  </w:endnote>
  <w:endnote w:id="3">
    <w:p w:rsidR="00796690" w:rsidRDefault="00796690">
      <w:pPr>
        <w:pStyle w:val="EndnoteText"/>
      </w:pPr>
      <w:r>
        <w:rPr>
          <w:rStyle w:val="EndnoteReference"/>
        </w:rPr>
        <w:endnoteRef/>
      </w:r>
      <w:r>
        <w:t xml:space="preserve"> Leviticus 22:4; Numbers 19:11</w:t>
      </w:r>
    </w:p>
  </w:endnote>
  <w:endnote w:id="4">
    <w:p w:rsidR="00796690" w:rsidRDefault="00796690">
      <w:pPr>
        <w:pStyle w:val="EndnoteText"/>
      </w:pPr>
      <w:r>
        <w:rPr>
          <w:rStyle w:val="EndnoteReference"/>
        </w:rPr>
        <w:endnoteRef/>
      </w:r>
      <w:r>
        <w:t xml:space="preserve"> Numbers 19:22</w:t>
      </w:r>
    </w:p>
  </w:endnote>
  <w:endnote w:id="5">
    <w:p w:rsidR="00796690" w:rsidRDefault="00796690">
      <w:pPr>
        <w:pStyle w:val="EndnoteText"/>
      </w:pPr>
      <w:r>
        <w:rPr>
          <w:rStyle w:val="EndnoteReference"/>
        </w:rPr>
        <w:endnoteRef/>
      </w:r>
      <w:r>
        <w:t xml:space="preserve"> Exodus 25:8; Leviticus 26:11</w:t>
      </w:r>
    </w:p>
  </w:endnote>
  <w:endnote w:id="6">
    <w:p w:rsidR="00796690" w:rsidRDefault="00796690">
      <w:pPr>
        <w:pStyle w:val="EndnoteText"/>
      </w:pPr>
      <w:r>
        <w:rPr>
          <w:rStyle w:val="EndnoteReference"/>
        </w:rPr>
        <w:endnoteRef/>
      </w:r>
      <w:r>
        <w:t xml:space="preserve"> Leviticus 5:1, 17</w:t>
      </w:r>
    </w:p>
  </w:endnote>
  <w:endnote w:id="7">
    <w:p w:rsidR="00796690" w:rsidRDefault="00796690">
      <w:pPr>
        <w:pStyle w:val="EndnoteText"/>
      </w:pPr>
      <w:r>
        <w:rPr>
          <w:rStyle w:val="EndnoteReference"/>
        </w:rPr>
        <w:endnoteRef/>
      </w:r>
      <w:r>
        <w:t xml:space="preserve"> Leviticus 5:5; Joshua 7:19; James 5:16</w:t>
      </w:r>
    </w:p>
  </w:endnote>
  <w:endnote w:id="8">
    <w:p w:rsidR="00796690" w:rsidRDefault="00796690">
      <w:pPr>
        <w:pStyle w:val="EndnoteText"/>
      </w:pPr>
      <w:r>
        <w:rPr>
          <w:rStyle w:val="EndnoteReference"/>
        </w:rPr>
        <w:endnoteRef/>
      </w:r>
      <w:r>
        <w:t xml:space="preserve"> Leviticus 6:4, 5</w:t>
      </w:r>
    </w:p>
  </w:endnote>
  <w:endnote w:id="9">
    <w:p w:rsidR="00796690" w:rsidRDefault="00796690">
      <w:pPr>
        <w:pStyle w:val="EndnoteText"/>
      </w:pPr>
      <w:r>
        <w:rPr>
          <w:rStyle w:val="EndnoteReference"/>
        </w:rPr>
        <w:endnoteRef/>
      </w:r>
      <w:r>
        <w:t xml:space="preserve"> Leviticus 5:16; 6:6, 7; 7:7</w:t>
      </w:r>
    </w:p>
  </w:endnote>
  <w:endnote w:id="10">
    <w:p w:rsidR="00796690" w:rsidRDefault="00796690">
      <w:pPr>
        <w:pStyle w:val="EndnoteText"/>
      </w:pPr>
      <w:r>
        <w:rPr>
          <w:rStyle w:val="EndnoteReference"/>
        </w:rPr>
        <w:endnoteRef/>
      </w:r>
      <w:r>
        <w:t xml:space="preserve"> Leviticus 6:14, 17; 7:1, 6; 10:12, 13</w:t>
      </w:r>
    </w:p>
  </w:endnote>
  <w:endnote w:id="11">
    <w:p w:rsidR="00796690" w:rsidRDefault="00796690">
      <w:pPr>
        <w:pStyle w:val="EndnoteText"/>
      </w:pPr>
      <w:r>
        <w:rPr>
          <w:rStyle w:val="EndnoteReference"/>
        </w:rPr>
        <w:endnoteRef/>
      </w:r>
      <w:r>
        <w:t xml:space="preserve"> Exodus 29:27, 28; Numbers 18:8; Deuteronomy 18:3; Ezekiel 44:29; 1 Corinthians 9:13</w:t>
      </w:r>
    </w:p>
  </w:endnote>
  <w:endnote w:id="12">
    <w:p w:rsidR="00796690" w:rsidRDefault="00796690">
      <w:pPr>
        <w:pStyle w:val="EndnoteText"/>
      </w:pPr>
      <w:r>
        <w:rPr>
          <w:rStyle w:val="EndnoteReference"/>
        </w:rPr>
        <w:endnoteRef/>
      </w:r>
      <w:r>
        <w:t xml:space="preserve"> Leviticus 18:20; Deuteronomy 5:18</w:t>
      </w:r>
    </w:p>
  </w:endnote>
  <w:endnote w:id="13">
    <w:p w:rsidR="00796690" w:rsidRDefault="00796690">
      <w:pPr>
        <w:pStyle w:val="EndnoteText"/>
      </w:pPr>
      <w:r>
        <w:rPr>
          <w:rStyle w:val="EndnoteReference"/>
        </w:rPr>
        <w:endnoteRef/>
      </w:r>
      <w:r>
        <w:t xml:space="preserve"> Jeremiah 17:10; Hebrews 13:4</w:t>
      </w:r>
    </w:p>
  </w:endnote>
  <w:endnote w:id="14">
    <w:p w:rsidR="00796690" w:rsidRDefault="00796690">
      <w:pPr>
        <w:pStyle w:val="EndnoteText"/>
      </w:pPr>
      <w:r>
        <w:rPr>
          <w:rStyle w:val="EndnoteReference"/>
        </w:rPr>
        <w:endnoteRef/>
      </w:r>
      <w:r>
        <w:t xml:space="preserve"> Numbers 5:15, 25</w:t>
      </w:r>
    </w:p>
  </w:endnote>
  <w:endnote w:id="15">
    <w:p w:rsidR="00796690" w:rsidRDefault="00796690">
      <w:pPr>
        <w:pStyle w:val="EndnoteText"/>
      </w:pPr>
      <w:r>
        <w:rPr>
          <w:rStyle w:val="EndnoteReference"/>
        </w:rPr>
        <w:endnoteRef/>
      </w:r>
      <w:r>
        <w:t xml:space="preserve"> Numbers 5:22, 24</w:t>
      </w:r>
    </w:p>
  </w:endnote>
  <w:endnote w:id="16">
    <w:p w:rsidR="00796690" w:rsidRDefault="00796690">
      <w:pPr>
        <w:pStyle w:val="EndnoteText"/>
      </w:pPr>
      <w:r>
        <w:rPr>
          <w:rStyle w:val="EndnoteReference"/>
        </w:rPr>
        <w:endnoteRef/>
      </w:r>
      <w:r>
        <w:t xml:space="preserve"> Romans 7:2</w:t>
      </w:r>
    </w:p>
  </w:endnote>
  <w:endnote w:id="17">
    <w:p w:rsidR="00796690" w:rsidRDefault="00796690">
      <w:pPr>
        <w:pStyle w:val="EndnoteText"/>
      </w:pPr>
      <w:r>
        <w:rPr>
          <w:rStyle w:val="EndnoteReference"/>
        </w:rPr>
        <w:endnoteRef/>
      </w:r>
      <w:r>
        <w:t xml:space="preserve"> Leviticus 18:20; 1 Corinthians 6:9, 10</w:t>
      </w:r>
    </w:p>
  </w:endnote>
  <w:endnote w:id="18">
    <w:p w:rsidR="00796690" w:rsidRDefault="00796690">
      <w:pPr>
        <w:pStyle w:val="EndnoteText"/>
      </w:pPr>
      <w:r>
        <w:rPr>
          <w:rStyle w:val="EndnoteReference"/>
        </w:rPr>
        <w:endnoteRef/>
      </w:r>
      <w:r>
        <w:t xml:space="preserve"> Numbers 5:15</w:t>
      </w:r>
    </w:p>
  </w:endnote>
  <w:endnote w:id="19">
    <w:p w:rsidR="00796690" w:rsidRDefault="00796690">
      <w:pPr>
        <w:pStyle w:val="EndnoteText"/>
      </w:pPr>
      <w:r>
        <w:rPr>
          <w:rStyle w:val="EndnoteReference"/>
        </w:rPr>
        <w:endnoteRef/>
      </w:r>
      <w:r>
        <w:t xml:space="preserve"> Leviticus 2:9</w:t>
      </w:r>
    </w:p>
  </w:endnote>
  <w:endnote w:id="20">
    <w:p w:rsidR="00796690" w:rsidRDefault="00796690">
      <w:pPr>
        <w:pStyle w:val="EndnoteText"/>
      </w:pPr>
      <w:r>
        <w:rPr>
          <w:rStyle w:val="EndnoteReference"/>
        </w:rPr>
        <w:endnoteRef/>
      </w:r>
      <w:r>
        <w:t xml:space="preserve"> Numbers 5:14, 15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E1C3C" w:rsidRDefault="005E1C3C">
      <w:r>
        <w:separator/>
      </w:r>
    </w:p>
  </w:footnote>
  <w:footnote w:type="continuationSeparator" w:id="0">
    <w:p w:rsidR="005E1C3C" w:rsidRDefault="005E1C3C">
      <w:r>
        <w:continuationSeparator/>
      </w:r>
    </w:p>
  </w:footnote>
  <w:footnote w:id="1">
    <w:p w:rsidR="00796690" w:rsidRDefault="00796690">
      <w:pPr>
        <w:pStyle w:val="FootnoteText"/>
      </w:pPr>
      <w:r>
        <w:rPr>
          <w:rStyle w:val="FootnoteReference"/>
        </w:rPr>
        <w:footnoteRef/>
      </w:r>
      <w:r>
        <w:t xml:space="preserve"> </w:t>
      </w:r>
      <w:r>
        <w:t>Or “by a soul.” See Glossary.</w:t>
      </w:r>
    </w:p>
  </w:footnote>
  <w:footnote w:id="2">
    <w:p w:rsidR="00796690" w:rsidRDefault="00796690">
      <w:pPr>
        <w:pStyle w:val="FootnoteText"/>
      </w:pPr>
      <w:r>
        <w:rPr>
          <w:rStyle w:val="FootnoteReference"/>
        </w:rPr>
        <w:footnoteRef/>
      </w:r>
      <w:r>
        <w:t xml:space="preserve"> </w:t>
      </w:r>
      <w:r>
        <w:t>Or “tabernacling.”</w:t>
      </w:r>
    </w:p>
  </w:footnote>
  <w:footnote w:id="3">
    <w:p w:rsidR="00796690" w:rsidRDefault="00796690">
      <w:pPr>
        <w:pStyle w:val="FootnoteText"/>
      </w:pPr>
      <w:r>
        <w:rPr>
          <w:rStyle w:val="FootnoteReference"/>
        </w:rPr>
        <w:footnoteRef/>
      </w:r>
      <w:r>
        <w:t xml:space="preserve"> </w:t>
      </w:r>
      <w:r>
        <w:t>Or “soul.”</w:t>
      </w:r>
    </w:p>
  </w:footnote>
  <w:footnote w:id="4">
    <w:p w:rsidR="00796690" w:rsidRDefault="00796690">
      <w:pPr>
        <w:pStyle w:val="FootnoteText"/>
      </w:pPr>
      <w:r>
        <w:rPr>
          <w:rStyle w:val="FootnoteReference"/>
        </w:rPr>
        <w:footnoteRef/>
      </w:r>
      <w:r>
        <w:t xml:space="preserve"> </w:t>
      </w:r>
      <w:r>
        <w:t>Lit., “They.”</w:t>
      </w:r>
    </w:p>
  </w:footnote>
  <w:footnote w:id="5">
    <w:p w:rsidR="00796690" w:rsidRDefault="00796690">
      <w:pPr>
        <w:pStyle w:val="FootnoteText"/>
      </w:pPr>
      <w:r>
        <w:rPr>
          <w:rStyle w:val="FootnoteReference"/>
        </w:rPr>
        <w:footnoteRef/>
      </w:r>
      <w:r>
        <w:t xml:space="preserve"> </w:t>
      </w:r>
      <w:r>
        <w:t>Lit., “they have.”</w:t>
      </w:r>
    </w:p>
  </w:footnote>
  <w:footnote w:id="6">
    <w:p w:rsidR="00796690" w:rsidRDefault="00796690">
      <w:pPr>
        <w:pStyle w:val="FootnoteText"/>
      </w:pPr>
      <w:r>
        <w:rPr>
          <w:rStyle w:val="FootnoteReference"/>
        </w:rPr>
        <w:footnoteRef/>
      </w:r>
      <w:r>
        <w:t xml:space="preserve"> </w:t>
      </w:r>
      <w:r>
        <w:t>A tenth of an ephah equaled 2.2 L (2 dry qt). See App. B14.</w:t>
      </w:r>
    </w:p>
  </w:footnote>
  <w:footnote w:id="7">
    <w:p w:rsidR="00796690" w:rsidRDefault="00796690">
      <w:pPr>
        <w:pStyle w:val="FootnoteText"/>
      </w:pPr>
      <w:r>
        <w:rPr>
          <w:rStyle w:val="FootnoteReference"/>
        </w:rPr>
        <w:footnoteRef/>
      </w:r>
      <w:r>
        <w:t xml:space="preserve"> </w:t>
      </w:r>
      <w:r>
        <w:t>Evidently referring to the reproductive organs.</w:t>
      </w:r>
    </w:p>
  </w:footnote>
  <w:footnote w:id="8">
    <w:p w:rsidR="00796690" w:rsidRDefault="00796690">
      <w:pPr>
        <w:pStyle w:val="FootnoteText"/>
      </w:pPr>
      <w:r>
        <w:rPr>
          <w:rStyle w:val="FootnoteReference"/>
        </w:rPr>
        <w:footnoteRef/>
      </w:r>
      <w:r>
        <w:t xml:space="preserve"> </w:t>
      </w:r>
      <w:r>
        <w:t>Or “waste away.” This may suggest loss of fertility.</w:t>
      </w:r>
    </w:p>
  </w:footnote>
  <w:footnote w:id="9">
    <w:p w:rsidR="00796690" w:rsidRDefault="00796690">
      <w:pPr>
        <w:pStyle w:val="FootnoteText"/>
      </w:pPr>
      <w:r>
        <w:rPr>
          <w:rStyle w:val="FootnoteReference"/>
        </w:rPr>
        <w:footnoteRef/>
      </w:r>
      <w:r>
        <w:t xml:space="preserve"> </w:t>
      </w:r>
      <w:r>
        <w:t>Evidently referring to the reproductive organs.</w:t>
      </w:r>
    </w:p>
  </w:footnote>
  <w:footnote w:id="10">
    <w:p w:rsidR="00796690" w:rsidRDefault="00796690">
      <w:pPr>
        <w:pStyle w:val="FootnoteText"/>
      </w:pPr>
      <w:r>
        <w:rPr>
          <w:rStyle w:val="FootnoteReference"/>
        </w:rPr>
        <w:footnoteRef/>
      </w:r>
      <w:r>
        <w:t xml:space="preserve"> </w:t>
      </w:r>
      <w:r>
        <w:t>Or “waste away.” This may suggest loss of fertility.</w:t>
      </w:r>
    </w:p>
  </w:footnote>
  <w:footnote w:id="11">
    <w:p w:rsidR="00796690" w:rsidRDefault="00796690">
      <w:pPr>
        <w:pStyle w:val="FootnoteText"/>
      </w:pPr>
      <w:r>
        <w:rPr>
          <w:rStyle w:val="FootnoteReference"/>
        </w:rPr>
        <w:footnoteRef/>
      </w:r>
      <w:r>
        <w:t xml:space="preserve"> </w:t>
      </w:r>
      <w:r>
        <w:t>Or “So be it! So be it!”</w:t>
      </w:r>
    </w:p>
  </w:footnote>
  <w:footnote w:id="12">
    <w:p w:rsidR="00796690" w:rsidRDefault="00796690">
      <w:pPr>
        <w:pStyle w:val="FootnoteText"/>
      </w:pPr>
      <w:r>
        <w:rPr>
          <w:rStyle w:val="FootnoteReference"/>
        </w:rPr>
        <w:footnoteRef/>
      </w:r>
      <w:r>
        <w:t xml:space="preserve"> </w:t>
      </w:r>
      <w:r>
        <w:t>Evidently referring to the reproductive organs.</w:t>
      </w:r>
    </w:p>
  </w:footnote>
  <w:footnote w:id="13">
    <w:p w:rsidR="00796690" w:rsidRDefault="00796690">
      <w:pPr>
        <w:pStyle w:val="FootnoteText"/>
      </w:pPr>
      <w:r>
        <w:rPr>
          <w:rStyle w:val="FootnoteReference"/>
        </w:rPr>
        <w:footnoteRef/>
      </w:r>
      <w:r>
        <w:t xml:space="preserve"> </w:t>
      </w:r>
      <w:r>
        <w:t>Or “waste away.” This may suggest loss of fertility.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796690">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796690">
        <w:t>Numbers Chapter 5</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796690">
      <w:t>04-Numbers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796690">
      <w:rPr>
        <w:noProof/>
        <w:snapToGrid w:val="0"/>
      </w:rPr>
      <w:t>Numbers 05.Advisor.docx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796690">
        <w:t>Numbers Chapter 5</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796690">
      <w:t>04-Numbers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796690">
      <w:rPr>
        <w:noProof/>
        <w:snapToGrid w:val="0"/>
      </w:rPr>
      <w:t>Numbers 05.Advisor.docx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796690">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796690">
      <w:t>&lt;not set&gt;</w:t>
    </w:r>
    <w:r>
      <w:fldChar w:fldCharType="end"/>
    </w:r>
    <w:r>
      <w:tab/>
      <w:t xml:space="preserve">Checker: </w:t>
    </w:r>
    <w:r>
      <w:fldChar w:fldCharType="begin"/>
    </w:r>
    <w:r>
      <w:instrText xml:space="preserve"> DOCPROPERTY "_RoleChecker" </w:instrText>
    </w:r>
    <w:r>
      <w:fldChar w:fldCharType="separate"/>
    </w:r>
    <w:r w:rsidR="00796690">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796690">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1C3C"/>
    <w:rsid w:val="000764F3"/>
    <w:rsid w:val="00245EDD"/>
    <w:rsid w:val="0026230D"/>
    <w:rsid w:val="002B524D"/>
    <w:rsid w:val="002C00A8"/>
    <w:rsid w:val="00310508"/>
    <w:rsid w:val="003B380B"/>
    <w:rsid w:val="004500A2"/>
    <w:rsid w:val="004B7393"/>
    <w:rsid w:val="004C5EB7"/>
    <w:rsid w:val="005D4494"/>
    <w:rsid w:val="005E1C3C"/>
    <w:rsid w:val="005F29B7"/>
    <w:rsid w:val="006634F9"/>
    <w:rsid w:val="00683A19"/>
    <w:rsid w:val="006B2E68"/>
    <w:rsid w:val="006D0A9F"/>
    <w:rsid w:val="006E0169"/>
    <w:rsid w:val="0075006C"/>
    <w:rsid w:val="00762BCB"/>
    <w:rsid w:val="00796690"/>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643d3022b2894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796690"/>
    <w:pPr>
      <w:spacing w:line="240" w:lineRule="auto"/>
    </w:pPr>
    <w:rPr>
      <w:sz w:val="20"/>
      <w:szCs w:val="20"/>
    </w:rPr>
  </w:style>
  <w:style w:type="character" w:customStyle="1" w:styleId="FootnoteTextChar">
    <w:name w:val="Footnote Text Char"/>
    <w:basedOn w:val="DefaultParagraphFont"/>
    <w:link w:val="FootnoteText"/>
    <w:rsid w:val="00796690"/>
    <w:rPr>
      <w:rFonts w:ascii="Arial" w:eastAsia="Times New Roman" w:hAnsi="Arial" w:cs="Latha"/>
      <w:lang w:val="en-US" w:eastAsia="en-US" w:bidi="ta-IN"/>
    </w:rPr>
  </w:style>
  <w:style w:type="character" w:styleId="FootnoteReference">
    <w:name w:val="footnote reference"/>
    <w:basedOn w:val="DefaultParagraphFont"/>
    <w:rsid w:val="00796690"/>
    <w:rPr>
      <w:vertAlign w:val="superscript"/>
    </w:rPr>
  </w:style>
  <w:style w:type="paragraph" w:styleId="EndnoteText">
    <w:name w:val="endnote text"/>
    <w:basedOn w:val="Normal"/>
    <w:link w:val="EndnoteTextChar"/>
    <w:rsid w:val="00796690"/>
    <w:pPr>
      <w:spacing w:line="240" w:lineRule="auto"/>
    </w:pPr>
    <w:rPr>
      <w:sz w:val="20"/>
      <w:szCs w:val="20"/>
    </w:rPr>
  </w:style>
  <w:style w:type="character" w:customStyle="1" w:styleId="EndnoteTextChar">
    <w:name w:val="Endnote Text Char"/>
    <w:basedOn w:val="DefaultParagraphFont"/>
    <w:link w:val="EndnoteText"/>
    <w:rsid w:val="00796690"/>
    <w:rPr>
      <w:rFonts w:ascii="Arial" w:eastAsia="Times New Roman" w:hAnsi="Arial" w:cs="Latha"/>
      <w:lang w:val="en-US" w:eastAsia="en-US" w:bidi="ta-IN"/>
    </w:rPr>
  </w:style>
  <w:style w:type="character" w:styleId="EndnoteReference">
    <w:name w:val="endnote reference"/>
    <w:basedOn w:val="DefaultParagraphFont"/>
    <w:rsid w:val="00796690"/>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796690"/>
    <w:pPr>
      <w:spacing w:line="240" w:lineRule="auto"/>
    </w:pPr>
    <w:rPr>
      <w:sz w:val="20"/>
      <w:szCs w:val="20"/>
    </w:rPr>
  </w:style>
  <w:style w:type="character" w:customStyle="1" w:styleId="FootnoteTextChar">
    <w:name w:val="Footnote Text Char"/>
    <w:basedOn w:val="DefaultParagraphFont"/>
    <w:link w:val="FootnoteText"/>
    <w:rsid w:val="00796690"/>
    <w:rPr>
      <w:rFonts w:ascii="Arial" w:eastAsia="Times New Roman" w:hAnsi="Arial" w:cs="Latha"/>
      <w:lang w:val="en-US" w:eastAsia="en-US" w:bidi="ta-IN"/>
    </w:rPr>
  </w:style>
  <w:style w:type="character" w:styleId="FootnoteReference">
    <w:name w:val="footnote reference"/>
    <w:basedOn w:val="DefaultParagraphFont"/>
    <w:rsid w:val="00796690"/>
    <w:rPr>
      <w:vertAlign w:val="superscript"/>
    </w:rPr>
  </w:style>
  <w:style w:type="paragraph" w:styleId="EndnoteText">
    <w:name w:val="endnote text"/>
    <w:basedOn w:val="Normal"/>
    <w:link w:val="EndnoteTextChar"/>
    <w:rsid w:val="00796690"/>
    <w:pPr>
      <w:spacing w:line="240" w:lineRule="auto"/>
    </w:pPr>
    <w:rPr>
      <w:sz w:val="20"/>
      <w:szCs w:val="20"/>
    </w:rPr>
  </w:style>
  <w:style w:type="character" w:customStyle="1" w:styleId="EndnoteTextChar">
    <w:name w:val="Endnote Text Char"/>
    <w:basedOn w:val="DefaultParagraphFont"/>
    <w:link w:val="EndnoteText"/>
    <w:rsid w:val="00796690"/>
    <w:rPr>
      <w:rFonts w:ascii="Arial" w:eastAsia="Times New Roman" w:hAnsi="Arial" w:cs="Latha"/>
      <w:lang w:val="en-US" w:eastAsia="en-US" w:bidi="ta-IN"/>
    </w:rPr>
  </w:style>
  <w:style w:type="character" w:styleId="EndnoteReference">
    <w:name w:val="endnote reference"/>
    <w:basedOn w:val="DefaultParagraphFont"/>
    <w:rsid w:val="0079669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643d3022b28940e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931</ap:Words>
  <ap:Characters>4101</ap:Characters>
  <ap:Application>Microsoft Office Word</ap:Application>
  <ap:DocSecurity>0</ap:DocSecurity>
  <ap:Lines>66</ap:Lines>
  <ap:Paragraphs>9</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5023</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Numbers Chapter 5</dc:title>
  <dc:subject/>
  <dc:creator>David Waterson</dc:creator>
  <cp:keywords/>
  <dc:description/>
  <cp:lastModifiedBy>David Waterson</cp:lastModifiedBy>
  <cp:revision>3</cp:revision>
  <dcterms:created xsi:type="dcterms:W3CDTF">2019-08-04T14:10:00Z</dcterms:created>
  <dcterms:modified xsi:type="dcterms:W3CDTF">2019-08-04T14:10:00Z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Numbers 05.docx</vt:lpwstr>
  </property>
  <property fmtid="{D5CDD505-2E9C-101B-9397-08002B2CF9AE}" pid="9" name="_TranslationDocumentId">
    <vt:i4>19452</vt:i4>
  </property>
  <property fmtid="{D5CDD505-2E9C-101B-9397-08002B2CF9AE}" pid="10" name="_ParentPublicationName">
    <vt:lpwstr>04-Numbers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4005</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4</vt:i4>
  </property>
  <property fmtid="{D5CDD505-2E9C-101B-9397-08002B2CF9AE}" pid="18" name="_ChapterNumber">
    <vt:i4>5</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