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5AA6" w:rsidRDefault="005B5AA6" w:rsidP="005B5AA6">
      <w:pPr>
        <w:rPr>
          <w:rFonts w:ascii="MEPS Bookman WTS" w:eastAsia="Segoe UI" w:hAnsi="MEPS Bookman WTS" w:cs="Segoe UI"/>
        </w:rPr>
      </w:pPr>
      <w:bookmarkStart w:id="0" w:name="_GoBack"/>
      <w:bookmarkEnd w:id="0"/>
      <w:r>
        <w:rPr>
          <w:rFonts w:eastAsia="Segoe UI" w:cs="Arial"/>
          <w:b/>
        </w:rPr>
        <w:t xml:space="preserve">13:1 </w:t>
      </w:r>
      <w:r>
        <w:rPr>
          <w:rFonts w:eastAsia="Segoe UI" w:cs="Arial"/>
        </w:rPr>
        <w:t xml:space="preserve">Jehovah now spoke to Moses, saying: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“Send out men to spy</w:t>
      </w:r>
      <w:r w:rsidR="000818F3">
        <w:rPr>
          <w:rStyle w:val="FootnoteReference"/>
          <w:rFonts w:eastAsia="Segoe UI" w:cs="Arial"/>
        </w:rPr>
        <w:footnoteReference w:id="1"/>
      </w:r>
      <w:r>
        <w:rPr>
          <w:rFonts w:eastAsia="Segoe UI" w:cs="Arial"/>
        </w:rPr>
        <w:t xml:space="preserve"> out the land of Ca′naan, which I am giving to the Israelites. You are to send out one man from each ancestral tribe, each one a chieftain</w:t>
      </w:r>
      <w:r w:rsidR="000818F3">
        <w:rPr>
          <w:rStyle w:val="EndnoteReference"/>
          <w:rFonts w:eastAsia="Segoe UI" w:cs="Arial"/>
        </w:rPr>
        <w:endnoteReference w:id="1"/>
      </w:r>
      <w:r>
        <w:rPr>
          <w:rFonts w:eastAsia="Segoe UI" w:cs="Arial"/>
        </w:rPr>
        <w:t xml:space="preserve"> among them.”</w:t>
      </w:r>
      <w:r w:rsidR="000818F3">
        <w:rPr>
          <w:rStyle w:val="EndnoteReference"/>
          <w:rFonts w:eastAsia="Segoe UI" w:cs="Arial"/>
        </w:rPr>
        <w:endnoteReference w:id="2"/>
      </w:r>
    </w:p>
    <w:p w:rsidR="005B5AA6" w:rsidRDefault="005B5AA6" w:rsidP="005B5AA6">
      <w:pPr>
        <w:rPr>
          <w:rFonts w:eastAsia="Segoe UI" w:cs="Arial"/>
        </w:rPr>
      </w:pP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So Moses sent them out from the wilderness of Pa′ran</w:t>
      </w:r>
      <w:r w:rsidR="000818F3">
        <w:rPr>
          <w:rStyle w:val="EndnoteReference"/>
          <w:rFonts w:eastAsia="Segoe UI" w:cs="Arial"/>
        </w:rPr>
        <w:endnoteReference w:id="3"/>
      </w:r>
      <w:r>
        <w:rPr>
          <w:rFonts w:eastAsia="Segoe UI" w:cs="Arial"/>
        </w:rPr>
        <w:t xml:space="preserve"> at the order of Jehovah. All the men were heads of the Israelites. </w:t>
      </w: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 xml:space="preserve">These are their names: of the tribe of Reu′ben, Sham·mu′a the son of Zac′cur; </w:t>
      </w: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 xml:space="preserve">of the tribe of Sim′e·on, Sha′phat the son of Ho′ri; </w:t>
      </w: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>of the tribe of Judah, Ca′leb</w:t>
      </w:r>
      <w:r w:rsidR="000818F3">
        <w:rPr>
          <w:rStyle w:val="EndnoteReference"/>
          <w:rFonts w:eastAsia="Segoe UI" w:cs="Arial"/>
        </w:rPr>
        <w:endnoteReference w:id="4"/>
      </w:r>
      <w:r>
        <w:rPr>
          <w:rFonts w:eastAsia="Segoe UI" w:cs="Arial"/>
        </w:rPr>
        <w:t xml:space="preserve"> the son of Je·phun′neh; </w:t>
      </w: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 xml:space="preserve">of the tribe of Is′sa·char, I′gal the son of Joseph; </w:t>
      </w: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of the tribe of E′phra·im, Ho·she′a</w:t>
      </w:r>
      <w:r w:rsidR="000818F3">
        <w:rPr>
          <w:rStyle w:val="EndnoteReference"/>
          <w:rFonts w:eastAsia="Segoe UI" w:cs="Arial"/>
        </w:rPr>
        <w:endnoteReference w:id="5"/>
      </w:r>
      <w:r>
        <w:rPr>
          <w:rFonts w:eastAsia="Segoe UI" w:cs="Arial"/>
        </w:rPr>
        <w:t xml:space="preserve"> the son of Nun; </w:t>
      </w: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 xml:space="preserve">of the tribe of Benjamin, Pal′ti the son of Ra′phu; </w:t>
      </w: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 xml:space="preserve">of the tribe of Zeb′u·lun, Gad′di·el the son of So′di; </w:t>
      </w: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>of the tribe of Joseph,</w:t>
      </w:r>
      <w:r w:rsidR="000818F3">
        <w:rPr>
          <w:rStyle w:val="EndnoteReference"/>
          <w:rFonts w:eastAsia="Segoe UI" w:cs="Arial"/>
        </w:rPr>
        <w:endnoteReference w:id="6"/>
      </w:r>
      <w:r>
        <w:rPr>
          <w:rFonts w:eastAsia="Segoe UI" w:cs="Arial"/>
        </w:rPr>
        <w:t xml:space="preserve"> for the tribe of Ma·nas′seh,</w:t>
      </w:r>
      <w:r w:rsidR="000818F3">
        <w:rPr>
          <w:rStyle w:val="EndnoteReference"/>
          <w:rFonts w:eastAsia="Segoe UI" w:cs="Arial"/>
        </w:rPr>
        <w:endnoteReference w:id="7"/>
      </w:r>
      <w:r>
        <w:rPr>
          <w:rFonts w:eastAsia="Segoe UI" w:cs="Arial"/>
        </w:rPr>
        <w:t xml:space="preserve"> Gad′di the son of Su′si; </w:t>
      </w: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 xml:space="preserve">of the tribe of Dan, Am′mi·el the son of Ge·mal′li; </w:t>
      </w: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 xml:space="preserve">of the tribe of Ash′er, Se′thur the son of Mi′cha·el; </w:t>
      </w: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 xml:space="preserve">of the tribe of Naph′ta·li, Nah′bi the son of Voph′si; </w:t>
      </w: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 xml:space="preserve">of the tribe of Gad, Geu′el the son of Ma′chi. </w:t>
      </w: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>These are the names of the men whom Moses sent to spy out the land. And Moses gave the name Joshua</w:t>
      </w:r>
      <w:r w:rsidR="000818F3">
        <w:rPr>
          <w:rStyle w:val="FootnoteReference"/>
          <w:rFonts w:eastAsia="Segoe UI" w:cs="Arial"/>
        </w:rPr>
        <w:footnoteReference w:id="2"/>
      </w:r>
      <w:r w:rsidR="000818F3">
        <w:rPr>
          <w:rStyle w:val="EndnoteReference"/>
          <w:rFonts w:eastAsia="Segoe UI" w:cs="Arial"/>
        </w:rPr>
        <w:endnoteReference w:id="8"/>
      </w:r>
      <w:r>
        <w:rPr>
          <w:rFonts w:eastAsia="Segoe UI" w:cs="Arial"/>
        </w:rPr>
        <w:t xml:space="preserve"> to Ho·she′a the son of Nun.</w:t>
      </w:r>
    </w:p>
    <w:p w:rsidR="005B5AA6" w:rsidRDefault="005B5AA6" w:rsidP="005B5AA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>When Moses was sending them to spy out the land of Ca′naan, he said to them: “Go up there into the Neg′eb, and then go up into the mountainous region.</w:t>
      </w:r>
      <w:r w:rsidR="000818F3">
        <w:rPr>
          <w:rStyle w:val="EndnoteReference"/>
          <w:rFonts w:eastAsia="Segoe UI" w:cs="Arial"/>
        </w:rPr>
        <w:endnoteReference w:id="9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>You must see what kind of land it is</w:t>
      </w:r>
      <w:r w:rsidR="000818F3">
        <w:rPr>
          <w:rStyle w:val="EndnoteReference"/>
          <w:rFonts w:eastAsia="Segoe UI" w:cs="Arial"/>
        </w:rPr>
        <w:endnoteReference w:id="10"/>
      </w:r>
      <w:r>
        <w:rPr>
          <w:rFonts w:eastAsia="Segoe UI" w:cs="Arial"/>
        </w:rPr>
        <w:t xml:space="preserve"> and whether the people who are dwelling in it are strong or weak, few or many, </w:t>
      </w: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 xml:space="preserve">and whether the land is good or bad and whether the cities they are dwelling in are encampments or fortifications. </w:t>
      </w: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>And find out whether the land is rich</w:t>
      </w:r>
      <w:r w:rsidR="000818F3">
        <w:rPr>
          <w:rStyle w:val="FootnoteReference"/>
          <w:rFonts w:eastAsia="Segoe UI" w:cs="Arial"/>
        </w:rPr>
        <w:footnoteReference w:id="3"/>
      </w:r>
      <w:r>
        <w:rPr>
          <w:rFonts w:eastAsia="Segoe UI" w:cs="Arial"/>
        </w:rPr>
        <w:t xml:space="preserve"> or poor</w:t>
      </w:r>
      <w:r w:rsidR="000818F3">
        <w:rPr>
          <w:rStyle w:val="FootnoteReference"/>
          <w:rFonts w:eastAsia="Segoe UI" w:cs="Arial"/>
        </w:rPr>
        <w:footnoteReference w:id="4"/>
      </w:r>
      <w:r w:rsidR="000818F3">
        <w:rPr>
          <w:rStyle w:val="EndnoteReference"/>
          <w:rFonts w:eastAsia="Segoe UI" w:cs="Arial"/>
        </w:rPr>
        <w:endnoteReference w:id="11"/>
      </w:r>
      <w:r>
        <w:rPr>
          <w:rFonts w:eastAsia="Segoe UI" w:cs="Arial"/>
        </w:rPr>
        <w:t xml:space="preserve"> and whether there are trees in it or not. You must be courageous</w:t>
      </w:r>
      <w:r w:rsidR="000818F3">
        <w:rPr>
          <w:rStyle w:val="EndnoteReference"/>
          <w:rFonts w:eastAsia="Segoe UI" w:cs="Arial"/>
        </w:rPr>
        <w:endnoteReference w:id="12"/>
      </w:r>
      <w:r>
        <w:rPr>
          <w:rFonts w:eastAsia="Segoe UI" w:cs="Arial"/>
        </w:rPr>
        <w:t xml:space="preserve"> and take some of the fruitage of the land.” Now it was the season of the first ripe grapes.</w:t>
      </w:r>
      <w:r w:rsidR="000818F3">
        <w:rPr>
          <w:rStyle w:val="EndnoteReference"/>
          <w:rFonts w:eastAsia="Segoe UI" w:cs="Arial"/>
        </w:rPr>
        <w:endnoteReference w:id="13"/>
      </w:r>
    </w:p>
    <w:p w:rsidR="005B5AA6" w:rsidRDefault="005B5AA6" w:rsidP="005B5AA6">
      <w:pPr>
        <w:rPr>
          <w:rFonts w:eastAsia="Segoe UI" w:cs="Arial"/>
        </w:rPr>
      </w:pP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>So they went up and spied out the land from the wilderness of Zin</w:t>
      </w:r>
      <w:r w:rsidR="000818F3">
        <w:rPr>
          <w:rStyle w:val="EndnoteReference"/>
          <w:rFonts w:eastAsia="Segoe UI" w:cs="Arial"/>
        </w:rPr>
        <w:endnoteReference w:id="14"/>
      </w:r>
      <w:r>
        <w:rPr>
          <w:rFonts w:eastAsia="Segoe UI" w:cs="Arial"/>
        </w:rPr>
        <w:t xml:space="preserve"> to Re′hob</w:t>
      </w:r>
      <w:r w:rsidR="000818F3">
        <w:rPr>
          <w:rStyle w:val="EndnoteReference"/>
          <w:rFonts w:eastAsia="Segoe UI" w:cs="Arial"/>
        </w:rPr>
        <w:endnoteReference w:id="15"/>
      </w:r>
      <w:r>
        <w:rPr>
          <w:rFonts w:eastAsia="Segoe UI" w:cs="Arial"/>
        </w:rPr>
        <w:t xml:space="preserve"> to Le′bo-ha′math.</w:t>
      </w:r>
      <w:r w:rsidR="000818F3">
        <w:rPr>
          <w:rStyle w:val="FootnoteReference"/>
          <w:rFonts w:eastAsia="Segoe UI" w:cs="Arial"/>
        </w:rPr>
        <w:footnoteReference w:id="5"/>
      </w:r>
      <w:r w:rsidR="000818F3">
        <w:rPr>
          <w:rStyle w:val="EndnoteReference"/>
          <w:rFonts w:eastAsia="Segoe UI" w:cs="Arial"/>
        </w:rPr>
        <w:endnoteReference w:id="1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>When they went up into the Neg′eb, they came to Heb′ron,</w:t>
      </w:r>
      <w:r w:rsidR="000818F3">
        <w:rPr>
          <w:rStyle w:val="EndnoteReference"/>
          <w:rFonts w:eastAsia="Segoe UI" w:cs="Arial"/>
        </w:rPr>
        <w:endnoteReference w:id="17"/>
      </w:r>
      <w:r>
        <w:rPr>
          <w:rFonts w:eastAsia="Segoe UI" w:cs="Arial"/>
        </w:rPr>
        <w:t xml:space="preserve"> where A·hi′man, She′shai, and Tal′mai,</w:t>
      </w:r>
      <w:r w:rsidR="000818F3">
        <w:rPr>
          <w:rStyle w:val="EndnoteReference"/>
          <w:rFonts w:eastAsia="Segoe UI" w:cs="Arial"/>
        </w:rPr>
        <w:endnoteReference w:id="18"/>
      </w:r>
      <w:r>
        <w:rPr>
          <w:rFonts w:eastAsia="Segoe UI" w:cs="Arial"/>
        </w:rPr>
        <w:t xml:space="preserve"> the An′a·kim,</w:t>
      </w:r>
      <w:r w:rsidR="000818F3">
        <w:rPr>
          <w:rStyle w:val="EndnoteReference"/>
          <w:rFonts w:eastAsia="Segoe UI" w:cs="Arial"/>
        </w:rPr>
        <w:endnoteReference w:id="19"/>
      </w:r>
      <w:r>
        <w:rPr>
          <w:rFonts w:eastAsia="Segoe UI" w:cs="Arial"/>
        </w:rPr>
        <w:t xml:space="preserve"> were living. Incidentally, Heb′ron had been built seven years before Zo′an of Egypt. </w:t>
      </w:r>
      <w:r>
        <w:rPr>
          <w:rFonts w:eastAsia="Segoe UI" w:cs="Arial"/>
          <w:b/>
        </w:rPr>
        <w:t xml:space="preserve">23 </w:t>
      </w:r>
      <w:r>
        <w:rPr>
          <w:rFonts w:eastAsia="Segoe UI" w:cs="Arial"/>
        </w:rPr>
        <w:t>When they came to the Valley</w:t>
      </w:r>
      <w:r w:rsidR="000818F3">
        <w:rPr>
          <w:rStyle w:val="FootnoteReference"/>
          <w:rFonts w:eastAsia="Segoe UI" w:cs="Arial"/>
        </w:rPr>
        <w:footnoteReference w:id="6"/>
      </w:r>
      <w:r>
        <w:rPr>
          <w:rFonts w:eastAsia="Segoe UI" w:cs="Arial"/>
        </w:rPr>
        <w:t xml:space="preserve"> of Esh′col,</w:t>
      </w:r>
      <w:r w:rsidR="000818F3">
        <w:rPr>
          <w:rStyle w:val="EndnoteReference"/>
          <w:rFonts w:eastAsia="Segoe UI" w:cs="Arial"/>
        </w:rPr>
        <w:endnoteReference w:id="20"/>
      </w:r>
      <w:r>
        <w:rPr>
          <w:rFonts w:eastAsia="Segoe UI" w:cs="Arial"/>
        </w:rPr>
        <w:t xml:space="preserve"> there they cut down a branch with one cluster of grapes, which two of the men had to carry on a bar, as well as some of the pomegranates and figs.</w:t>
      </w:r>
      <w:r w:rsidR="000818F3">
        <w:rPr>
          <w:rStyle w:val="EndnoteReference"/>
          <w:rFonts w:eastAsia="Segoe UI" w:cs="Arial"/>
        </w:rPr>
        <w:endnoteReference w:id="2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24 </w:t>
      </w:r>
      <w:r>
        <w:rPr>
          <w:rFonts w:eastAsia="Segoe UI" w:cs="Arial"/>
        </w:rPr>
        <w:t>They called that place the Valley</w:t>
      </w:r>
      <w:r w:rsidR="000818F3">
        <w:rPr>
          <w:rStyle w:val="FootnoteReference"/>
          <w:rFonts w:eastAsia="Segoe UI" w:cs="Arial"/>
        </w:rPr>
        <w:footnoteReference w:id="7"/>
      </w:r>
      <w:r>
        <w:rPr>
          <w:rFonts w:eastAsia="Segoe UI" w:cs="Arial"/>
        </w:rPr>
        <w:t xml:space="preserve"> of Esh′col</w:t>
      </w:r>
      <w:r w:rsidR="000818F3">
        <w:rPr>
          <w:rStyle w:val="FootnoteReference"/>
          <w:rFonts w:eastAsia="Segoe UI" w:cs="Arial"/>
        </w:rPr>
        <w:footnoteReference w:id="8"/>
      </w:r>
      <w:r w:rsidR="000818F3">
        <w:rPr>
          <w:rStyle w:val="EndnoteReference"/>
          <w:rFonts w:eastAsia="Segoe UI" w:cs="Arial"/>
        </w:rPr>
        <w:endnoteReference w:id="22"/>
      </w:r>
      <w:r>
        <w:rPr>
          <w:rFonts w:eastAsia="Segoe UI" w:cs="Arial"/>
        </w:rPr>
        <w:t xml:space="preserve"> because of the cluster that the Israelites cut down from there.</w:t>
      </w:r>
    </w:p>
    <w:p w:rsidR="005B5AA6" w:rsidRDefault="005B5AA6" w:rsidP="005B5AA6">
      <w:pPr>
        <w:rPr>
          <w:rFonts w:eastAsia="Segoe UI" w:cs="Arial"/>
        </w:rPr>
      </w:pPr>
      <w:r>
        <w:rPr>
          <w:rFonts w:eastAsia="Segoe UI" w:cs="Arial"/>
          <w:b/>
        </w:rPr>
        <w:t xml:space="preserve">25 </w:t>
      </w:r>
      <w:r>
        <w:rPr>
          <w:rFonts w:eastAsia="Segoe UI" w:cs="Arial"/>
        </w:rPr>
        <w:t>At the end of 40 days,</w:t>
      </w:r>
      <w:r w:rsidR="000818F3">
        <w:rPr>
          <w:rStyle w:val="EndnoteReference"/>
          <w:rFonts w:eastAsia="Segoe UI" w:cs="Arial"/>
        </w:rPr>
        <w:endnoteReference w:id="23"/>
      </w:r>
      <w:r>
        <w:rPr>
          <w:rFonts w:eastAsia="Segoe UI" w:cs="Arial"/>
        </w:rPr>
        <w:t xml:space="preserve"> they returned from spying out the land. </w:t>
      </w:r>
      <w:r>
        <w:rPr>
          <w:rFonts w:eastAsia="Segoe UI" w:cs="Arial"/>
          <w:b/>
        </w:rPr>
        <w:t xml:space="preserve">26 </w:t>
      </w:r>
      <w:r>
        <w:rPr>
          <w:rFonts w:eastAsia="Segoe UI" w:cs="Arial"/>
        </w:rPr>
        <w:t>So they came back to Moses and Aaron and all the assembly of the Israelites in the wilderness of Pa′ran, at Ka′desh.</w:t>
      </w:r>
      <w:r w:rsidR="000818F3">
        <w:rPr>
          <w:rStyle w:val="EndnoteReference"/>
          <w:rFonts w:eastAsia="Segoe UI" w:cs="Arial"/>
        </w:rPr>
        <w:endnoteReference w:id="24"/>
      </w:r>
      <w:r>
        <w:rPr>
          <w:rFonts w:eastAsia="Segoe UI" w:cs="Arial"/>
        </w:rPr>
        <w:t xml:space="preserve"> They brought back a report to all the assembly and showed them the fruitage of the land. </w:t>
      </w:r>
      <w:r>
        <w:rPr>
          <w:rFonts w:eastAsia="Segoe UI" w:cs="Arial"/>
          <w:b/>
        </w:rPr>
        <w:t xml:space="preserve">27 </w:t>
      </w:r>
      <w:r>
        <w:rPr>
          <w:rFonts w:eastAsia="Segoe UI" w:cs="Arial"/>
        </w:rPr>
        <w:t>This is what they reported to Moses: “We entered the land into which you sent us, and it is indeed flowing with milk and honey,</w:t>
      </w:r>
      <w:r w:rsidR="000818F3">
        <w:rPr>
          <w:rStyle w:val="EndnoteReference"/>
          <w:rFonts w:eastAsia="Segoe UI" w:cs="Arial"/>
        </w:rPr>
        <w:endnoteReference w:id="25"/>
      </w:r>
      <w:r>
        <w:rPr>
          <w:rFonts w:eastAsia="Segoe UI" w:cs="Arial"/>
        </w:rPr>
        <w:t xml:space="preserve"> and this is its fruitage.</w:t>
      </w:r>
      <w:r w:rsidR="000818F3">
        <w:rPr>
          <w:rStyle w:val="EndnoteReference"/>
          <w:rFonts w:eastAsia="Segoe UI" w:cs="Arial"/>
        </w:rPr>
        <w:endnoteReference w:id="2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28 </w:t>
      </w:r>
      <w:r>
        <w:rPr>
          <w:rFonts w:eastAsia="Segoe UI" w:cs="Arial"/>
        </w:rPr>
        <w:t>Nevertheless, the people who dwell in the land are strong, and the fortified cities are very great. We also saw the An′a·kim there.</w:t>
      </w:r>
      <w:r w:rsidR="000818F3">
        <w:rPr>
          <w:rStyle w:val="EndnoteReference"/>
          <w:rFonts w:eastAsia="Segoe UI" w:cs="Arial"/>
        </w:rPr>
        <w:endnoteReference w:id="27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29 </w:t>
      </w:r>
      <w:r>
        <w:rPr>
          <w:rFonts w:eastAsia="Segoe UI" w:cs="Arial"/>
        </w:rPr>
        <w:t>The A·mal′ek·ites</w:t>
      </w:r>
      <w:r w:rsidR="000818F3">
        <w:rPr>
          <w:rStyle w:val="EndnoteReference"/>
          <w:rFonts w:eastAsia="Segoe UI" w:cs="Arial"/>
        </w:rPr>
        <w:endnoteReference w:id="28"/>
      </w:r>
      <w:r>
        <w:rPr>
          <w:rFonts w:eastAsia="Segoe UI" w:cs="Arial"/>
        </w:rPr>
        <w:t xml:space="preserve"> are dwelling in the land of the Neg′eb,</w:t>
      </w:r>
      <w:r w:rsidR="000818F3">
        <w:rPr>
          <w:rStyle w:val="EndnoteReference"/>
          <w:rFonts w:eastAsia="Segoe UI" w:cs="Arial"/>
        </w:rPr>
        <w:endnoteReference w:id="29"/>
      </w:r>
      <w:r>
        <w:rPr>
          <w:rFonts w:eastAsia="Segoe UI" w:cs="Arial"/>
        </w:rPr>
        <w:t xml:space="preserve"> and the Hit′tites, the Jeb′u·sites,</w:t>
      </w:r>
      <w:r w:rsidR="000818F3">
        <w:rPr>
          <w:rStyle w:val="EndnoteReference"/>
          <w:rFonts w:eastAsia="Segoe UI" w:cs="Arial"/>
        </w:rPr>
        <w:endnoteReference w:id="30"/>
      </w:r>
      <w:r>
        <w:rPr>
          <w:rFonts w:eastAsia="Segoe UI" w:cs="Arial"/>
        </w:rPr>
        <w:t xml:space="preserve"> and the Am′or·ites</w:t>
      </w:r>
      <w:r w:rsidR="000818F3">
        <w:rPr>
          <w:rStyle w:val="EndnoteReference"/>
          <w:rFonts w:eastAsia="Segoe UI" w:cs="Arial"/>
        </w:rPr>
        <w:endnoteReference w:id="31"/>
      </w:r>
      <w:r>
        <w:rPr>
          <w:rFonts w:eastAsia="Segoe UI" w:cs="Arial"/>
        </w:rPr>
        <w:t xml:space="preserve"> are dwelling in the mountainous region, and the Ca′naan·ites</w:t>
      </w:r>
      <w:r w:rsidR="000818F3">
        <w:rPr>
          <w:rStyle w:val="EndnoteReference"/>
          <w:rFonts w:eastAsia="Segoe UI" w:cs="Arial"/>
        </w:rPr>
        <w:endnoteReference w:id="32"/>
      </w:r>
      <w:r>
        <w:rPr>
          <w:rFonts w:eastAsia="Segoe UI" w:cs="Arial"/>
        </w:rPr>
        <w:t xml:space="preserve"> are dwelling by the sea</w:t>
      </w:r>
      <w:r w:rsidR="000818F3">
        <w:rPr>
          <w:rStyle w:val="EndnoteReference"/>
          <w:rFonts w:eastAsia="Segoe UI" w:cs="Arial"/>
        </w:rPr>
        <w:endnoteReference w:id="33"/>
      </w:r>
      <w:r>
        <w:rPr>
          <w:rFonts w:eastAsia="Segoe UI" w:cs="Arial"/>
        </w:rPr>
        <w:t xml:space="preserve"> and along the Jordan.”</w:t>
      </w:r>
    </w:p>
    <w:p w:rsidR="005B5AA6" w:rsidRDefault="005B5AA6" w:rsidP="005B5AA6">
      <w:pPr>
        <w:rPr>
          <w:rFonts w:eastAsia="Segoe UI" w:cs="Arial"/>
        </w:rPr>
      </w:pPr>
      <w:r>
        <w:rPr>
          <w:rFonts w:eastAsia="Segoe UI" w:cs="Arial"/>
          <w:b/>
        </w:rPr>
        <w:t xml:space="preserve">30 </w:t>
      </w:r>
      <w:r>
        <w:rPr>
          <w:rFonts w:eastAsia="Segoe UI" w:cs="Arial"/>
        </w:rPr>
        <w:t>Then Ca′leb tried to calm the people as they stood before Moses by saying: “Let us go up immediately, and we are sure to take possession of it, because we can surely conquer it.”</w:t>
      </w:r>
      <w:r w:rsidR="000818F3">
        <w:rPr>
          <w:rStyle w:val="EndnoteReference"/>
          <w:rFonts w:eastAsia="Segoe UI" w:cs="Arial"/>
        </w:rPr>
        <w:endnoteReference w:id="3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31 </w:t>
      </w:r>
      <w:r>
        <w:rPr>
          <w:rFonts w:eastAsia="Segoe UI" w:cs="Arial"/>
        </w:rPr>
        <w:t>But the men who went up with him said: “We are not able to go up against the people, because they are stronger than we are.”</w:t>
      </w:r>
      <w:r w:rsidR="000818F3">
        <w:rPr>
          <w:rStyle w:val="EndnoteReference"/>
          <w:rFonts w:eastAsia="Segoe UI" w:cs="Arial"/>
        </w:rPr>
        <w:endnoteReference w:id="35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32 </w:t>
      </w:r>
      <w:r>
        <w:rPr>
          <w:rFonts w:eastAsia="Segoe UI" w:cs="Arial"/>
        </w:rPr>
        <w:t>And they kept on giving the Israelites a bad report</w:t>
      </w:r>
      <w:r w:rsidR="000818F3">
        <w:rPr>
          <w:rStyle w:val="EndnoteReference"/>
          <w:rFonts w:eastAsia="Segoe UI" w:cs="Arial"/>
        </w:rPr>
        <w:endnoteReference w:id="36"/>
      </w:r>
      <w:r>
        <w:rPr>
          <w:rFonts w:eastAsia="Segoe UI" w:cs="Arial"/>
        </w:rPr>
        <w:t xml:space="preserve"> about the land that they had spied out, saying: “The land that we passed through to spy out is a land that devours its inhabitants, and all the people whom we saw in it are men of extraordinary size.</w:t>
      </w:r>
      <w:r w:rsidR="000818F3">
        <w:rPr>
          <w:rStyle w:val="EndnoteReference"/>
          <w:rFonts w:eastAsia="Segoe UI" w:cs="Arial"/>
        </w:rPr>
        <w:endnoteReference w:id="37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33 </w:t>
      </w:r>
      <w:r>
        <w:rPr>
          <w:rFonts w:eastAsia="Segoe UI" w:cs="Arial"/>
        </w:rPr>
        <w:t>And there we saw the Neph′i·lim, the sons of A′nak,</w:t>
      </w:r>
      <w:r w:rsidR="000818F3">
        <w:rPr>
          <w:rStyle w:val="EndnoteReference"/>
          <w:rFonts w:eastAsia="Segoe UI" w:cs="Arial"/>
        </w:rPr>
        <w:endnoteReference w:id="38"/>
      </w:r>
      <w:r>
        <w:rPr>
          <w:rFonts w:eastAsia="Segoe UI" w:cs="Arial"/>
        </w:rPr>
        <w:t xml:space="preserve"> who are from</w:t>
      </w:r>
      <w:r w:rsidR="000818F3">
        <w:rPr>
          <w:rStyle w:val="FootnoteReference"/>
          <w:rFonts w:eastAsia="Segoe UI" w:cs="Arial"/>
        </w:rPr>
        <w:footnoteReference w:id="9"/>
      </w:r>
      <w:r>
        <w:rPr>
          <w:rFonts w:eastAsia="Segoe UI" w:cs="Arial"/>
        </w:rPr>
        <w:t xml:space="preserve"> the Neph′i·lim, and in comparison we seemed like grasshoppers, both to us and to them.”</w:t>
      </w:r>
    </w:p>
    <w:p w:rsidR="00762BCB" w:rsidRPr="005B5AA6" w:rsidRDefault="00762BCB" w:rsidP="005B5AA6"/>
    <w:sectPr w:rsidR="00762BCB" w:rsidRPr="005B5AA6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12A1" w:rsidRDefault="00D012A1">
      <w:r>
        <w:separator/>
      </w:r>
    </w:p>
  </w:endnote>
  <w:endnote w:type="continuationSeparator" w:id="0">
    <w:p w:rsidR="00D012A1" w:rsidRDefault="00D012A1">
      <w:r>
        <w:continuationSeparator/>
      </w:r>
    </w:p>
  </w:endnote>
  <w:endnote w:id="1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Exodus 18:25; Deuteronomy 1:15</w:t>
      </w:r>
    </w:p>
  </w:endnote>
  <w:endnote w:id="2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Deuteronomy 1:22, 23</w:t>
      </w:r>
    </w:p>
  </w:endnote>
  <w:endnote w:id="3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Numbers 12:16; Deuteronomy 1:19</w:t>
      </w:r>
    </w:p>
  </w:endnote>
  <w:endnote w:id="4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Numbers 13:30; 14:30, 38; 34:18, 19; 1 Chronicles 4:15</w:t>
      </w:r>
    </w:p>
  </w:endnote>
  <w:endnote w:id="5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Numbers 11:28; 13:16; 14:30; 34:17</w:t>
      </w:r>
    </w:p>
  </w:endnote>
  <w:endnote w:id="6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Genesis 48:5</w:t>
      </w:r>
    </w:p>
  </w:endnote>
  <w:endnote w:id="7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Genesis 48:17, 19</w:t>
      </w:r>
    </w:p>
  </w:endnote>
  <w:endnote w:id="8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Exodus 17:9</w:t>
      </w:r>
    </w:p>
  </w:endnote>
  <w:endnote w:id="9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Deuteronomy 1:7</w:t>
      </w:r>
    </w:p>
  </w:endnote>
  <w:endnote w:id="10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Exodus 3:8; Deuteronomy 8:7</w:t>
      </w:r>
    </w:p>
  </w:endnote>
  <w:endnote w:id="11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Nehemiah 9:25; Ezekiel 20:6</w:t>
      </w:r>
    </w:p>
  </w:endnote>
  <w:endnote w:id="12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Deuteronomy 31:6; Joshua 1:6, 9</w:t>
      </w:r>
    </w:p>
  </w:endnote>
  <w:endnote w:id="13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Numbers 13:23</w:t>
      </w:r>
    </w:p>
  </w:endnote>
  <w:endnote w:id="14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Numbers 34:2, 3; Joshua 15:1</w:t>
      </w:r>
    </w:p>
  </w:endnote>
  <w:endnote w:id="15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2 Samuel 10:6, 8</w:t>
      </w:r>
    </w:p>
  </w:endnote>
  <w:endnote w:id="16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Numbers 34:8</w:t>
      </w:r>
    </w:p>
  </w:endnote>
  <w:endnote w:id="17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Genesis 13:18; Joshua 15:13; 21:11, 12</w:t>
      </w:r>
    </w:p>
  </w:endnote>
  <w:endnote w:id="18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Judges 1:10</w:t>
      </w:r>
    </w:p>
  </w:endnote>
  <w:endnote w:id="19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Deuteronomy 9:1, 2; Joshua 11:21</w:t>
      </w:r>
    </w:p>
  </w:endnote>
  <w:endnote w:id="20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Numbers 32:9</w:t>
      </w:r>
    </w:p>
  </w:endnote>
  <w:endnote w:id="21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Deuteronomy 1:25; 8:7-9</w:t>
      </w:r>
    </w:p>
  </w:endnote>
  <w:endnote w:id="22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Deuteronomy 1:24</w:t>
      </w:r>
    </w:p>
  </w:endnote>
  <w:endnote w:id="23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Numbers 14:33, 34</w:t>
      </w:r>
    </w:p>
  </w:endnote>
  <w:endnote w:id="24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Deuteronomy 1:19</w:t>
      </w:r>
    </w:p>
  </w:endnote>
  <w:endnote w:id="25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Exodus 3:8; Leviticus 20:24</w:t>
      </w:r>
    </w:p>
  </w:endnote>
  <w:endnote w:id="26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Deuteronomy 1:25</w:t>
      </w:r>
    </w:p>
  </w:endnote>
  <w:endnote w:id="27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Numbers 13:22, 33; Deuteronomy 1:27, 28</w:t>
      </w:r>
    </w:p>
  </w:endnote>
  <w:endnote w:id="28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Genesis 36:12; Exodus 17:8; 1 Samuel 15:3</w:t>
      </w:r>
    </w:p>
  </w:endnote>
  <w:endnote w:id="29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Numbers 13:17</w:t>
      </w:r>
    </w:p>
  </w:endnote>
  <w:endnote w:id="30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Judges 1:21; 2 Samuel 5:6, 7</w:t>
      </w:r>
    </w:p>
  </w:endnote>
  <w:endnote w:id="31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Genesis 10:15, 16</w:t>
      </w:r>
    </w:p>
  </w:endnote>
  <w:endnote w:id="32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Exodus 23:23; Deuteronomy 7:1; 20:17</w:t>
      </w:r>
    </w:p>
  </w:endnote>
  <w:endnote w:id="33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Genesis 10:19</w:t>
      </w:r>
    </w:p>
  </w:endnote>
  <w:endnote w:id="34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Joshua 14:7, 8</w:t>
      </w:r>
    </w:p>
  </w:endnote>
  <w:endnote w:id="35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Numbers 32:9</w:t>
      </w:r>
    </w:p>
  </w:endnote>
  <w:endnote w:id="36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Numbers 14:36</w:t>
      </w:r>
    </w:p>
  </w:endnote>
  <w:endnote w:id="37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Amos 2:9</w:t>
      </w:r>
    </w:p>
  </w:endnote>
  <w:endnote w:id="38">
    <w:p w:rsidR="000818F3" w:rsidRDefault="000818F3">
      <w:pPr>
        <w:pStyle w:val="EndnoteText"/>
      </w:pPr>
      <w:r>
        <w:rPr>
          <w:rStyle w:val="EndnoteReference"/>
        </w:rPr>
        <w:endnoteRef/>
      </w:r>
      <w:r>
        <w:t xml:space="preserve"> Deuteronomy 1:28; 9:1, 2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12A1" w:rsidRDefault="00D012A1">
      <w:r>
        <w:separator/>
      </w:r>
    </w:p>
  </w:footnote>
  <w:footnote w:type="continuationSeparator" w:id="0">
    <w:p w:rsidR="00D012A1" w:rsidRDefault="00D012A1">
      <w:r>
        <w:continuationSeparator/>
      </w:r>
    </w:p>
  </w:footnote>
  <w:footnote w:id="1">
    <w:p w:rsidR="000818F3" w:rsidRDefault="000818F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“to scout.”</w:t>
      </w:r>
    </w:p>
  </w:footnote>
  <w:footnote w:id="2">
    <w:p w:rsidR="000818F3" w:rsidRDefault="000818F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“Jehoshua,” meaning “Jehovah Is Salvation.”</w:t>
      </w:r>
    </w:p>
  </w:footnote>
  <w:footnote w:id="3">
    <w:p w:rsidR="000818F3" w:rsidRDefault="000818F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“fat.”</w:t>
      </w:r>
    </w:p>
  </w:footnote>
  <w:footnote w:id="4">
    <w:p w:rsidR="000818F3" w:rsidRDefault="000818F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“lean.”</w:t>
      </w:r>
    </w:p>
  </w:footnote>
  <w:footnote w:id="5">
    <w:p w:rsidR="000818F3" w:rsidRDefault="000818F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“the entrance of Hamath.”</w:t>
      </w:r>
    </w:p>
  </w:footnote>
  <w:footnote w:id="6">
    <w:p w:rsidR="000818F3" w:rsidRDefault="000818F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“Wadi.”</w:t>
      </w:r>
    </w:p>
  </w:footnote>
  <w:footnote w:id="7">
    <w:p w:rsidR="000818F3" w:rsidRDefault="000818F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“Wadi.”</w:t>
      </w:r>
    </w:p>
  </w:footnote>
  <w:footnote w:id="8">
    <w:p w:rsidR="000818F3" w:rsidRDefault="000818F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Meaning “Cluster of Grapes.”</w:t>
      </w:r>
    </w:p>
  </w:footnote>
  <w:footnote w:id="9">
    <w:p w:rsidR="000818F3" w:rsidRDefault="000818F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“descendants of.”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818F3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818F3">
        <w:t>Numbers Chapter 13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0818F3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818F3">
      <w:rPr>
        <w:noProof/>
        <w:snapToGrid w:val="0"/>
      </w:rPr>
      <w:t>Numbers 13.Advisor.docx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818F3">
        <w:t>Numbers Chapter 13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0818F3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818F3">
      <w:rPr>
        <w:noProof/>
        <w:snapToGrid w:val="0"/>
      </w:rPr>
      <w:t>Numbers 13.Advisor.docx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0818F3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0818F3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0818F3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0818F3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12A1"/>
    <w:rsid w:val="000818F3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B5AA6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12A1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5ba991e15b6448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0818F3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818F3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0818F3"/>
    <w:rPr>
      <w:vertAlign w:val="superscript"/>
    </w:rPr>
  </w:style>
  <w:style w:type="paragraph" w:styleId="EndnoteText">
    <w:name w:val="endnote text"/>
    <w:basedOn w:val="Normal"/>
    <w:link w:val="EndnoteTextChar"/>
    <w:rsid w:val="000818F3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0818F3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0818F3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0818F3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818F3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0818F3"/>
    <w:rPr>
      <w:vertAlign w:val="superscript"/>
    </w:rPr>
  </w:style>
  <w:style w:type="paragraph" w:styleId="EndnoteText">
    <w:name w:val="endnote text"/>
    <w:basedOn w:val="Normal"/>
    <w:link w:val="EndnoteTextChar"/>
    <w:rsid w:val="000818F3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0818F3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0818F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5ba991e15b6448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755</ap:Words>
  <ap:Characters>3180</ap:Characters>
  <ap:Application>Microsoft Office Word</ap:Application>
  <ap:DocSecurity>0</ap:DocSecurity>
  <ap:Lines>50</ap:Lines>
  <ap:Paragraphs>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3928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13</dc:title>
  <dc:subject/>
  <dc:creator>David Waterson</dc:creator>
  <cp:keywords/>
  <dc:description/>
  <cp:lastModifiedBy>David Waterson</cp:lastModifiedBy>
  <cp:revision>3</cp:revision>
  <dcterms:created xsi:type="dcterms:W3CDTF">2019-08-04T14:14:00Z</dcterms:created>
  <dcterms:modified xsi:type="dcterms:W3CDTF">2019-08-04T14:14:00Z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13.docx</vt:lpwstr>
  </property>
  <property fmtid="{D5CDD505-2E9C-101B-9397-08002B2CF9AE}" pid="9" name="_TranslationDocumentId">
    <vt:i4>19460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4013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13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