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7A00" w:rsidRDefault="00147A00" w:rsidP="00147A00">
      <w:pPr>
        <w:rPr>
          <w:rFonts w:eastAsia="Segoe UI" w:cs="Arial"/>
        </w:rPr>
      </w:pPr>
      <w:bookmarkStart w:id="0" w:name="_GoBack"/>
      <w:bookmarkEnd w:id="0"/>
      <w:r>
        <w:rPr>
          <w:rFonts w:eastAsia="Segoe UI" w:cs="Arial"/>
          <w:b/>
        </w:rPr>
        <w:t xml:space="preserve">19:1 </w:t>
      </w:r>
      <w:r>
        <w:rPr>
          <w:rFonts w:eastAsia="Segoe UI" w:cs="Arial"/>
        </w:rPr>
        <w:t xml:space="preserve">Jehovah spoke again to Moses and Aaron, saying: </w:t>
      </w:r>
      <w:r>
        <w:rPr>
          <w:rFonts w:eastAsia="Segoe UI" w:cs="Arial"/>
          <w:b/>
        </w:rPr>
        <w:t xml:space="preserve">2 </w:t>
      </w:r>
      <w:r>
        <w:rPr>
          <w:rFonts w:eastAsia="Segoe UI" w:cs="Arial"/>
        </w:rPr>
        <w:t>“This is a statute of the law that Jehovah has commanded, ‘Tell the Israelites that they should take for you a sound red cow in which there is no defect</w:t>
      </w:r>
      <w:r w:rsidR="004B44C6">
        <w:rPr>
          <w:rStyle w:val="EndnoteReference"/>
          <w:rFonts w:eastAsia="Segoe UI" w:cs="Arial"/>
        </w:rPr>
        <w:endnoteReference w:id="1"/>
      </w:r>
      <w:r>
        <w:rPr>
          <w:rFonts w:eastAsia="Segoe UI" w:cs="Arial"/>
        </w:rPr>
        <w:t xml:space="preserve"> and upon which no yoke has come. </w:t>
      </w:r>
      <w:r>
        <w:rPr>
          <w:rFonts w:eastAsia="Segoe UI" w:cs="Arial"/>
          <w:b/>
        </w:rPr>
        <w:t xml:space="preserve">3 </w:t>
      </w:r>
      <w:r>
        <w:rPr>
          <w:rFonts w:eastAsia="Segoe UI" w:cs="Arial"/>
        </w:rPr>
        <w:t xml:space="preserve">You are to give it to El·e·a′zar the priest, and he will lead it outside the camp, and it will be slaughtered before him. </w:t>
      </w:r>
      <w:r>
        <w:rPr>
          <w:rFonts w:eastAsia="Segoe UI" w:cs="Arial"/>
          <w:b/>
        </w:rPr>
        <w:t xml:space="preserve">4 </w:t>
      </w:r>
      <w:r>
        <w:rPr>
          <w:rFonts w:eastAsia="Segoe UI" w:cs="Arial"/>
        </w:rPr>
        <w:t>Then El·e·a′zar the priest will take some of its blood with his finger and spatter its blood seven times straight toward the front of the tent of meeting.</w:t>
      </w:r>
      <w:r w:rsidR="004B44C6">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5 </w:t>
      </w:r>
      <w:r>
        <w:rPr>
          <w:rFonts w:eastAsia="Segoe UI" w:cs="Arial"/>
        </w:rPr>
        <w:t>The cow will then be burned before his eyes. Its skin and its flesh and its blood together with its dung will be burned.</w:t>
      </w:r>
      <w:r w:rsidR="004B44C6">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6 </w:t>
      </w:r>
      <w:r>
        <w:rPr>
          <w:rFonts w:eastAsia="Segoe UI" w:cs="Arial"/>
        </w:rPr>
        <w:t>And the priest will take cedarwood, hyssop,</w:t>
      </w:r>
      <w:r w:rsidR="004B44C6">
        <w:rPr>
          <w:rStyle w:val="EndnoteReference"/>
          <w:rFonts w:eastAsia="Segoe UI" w:cs="Arial"/>
        </w:rPr>
        <w:endnoteReference w:id="4"/>
      </w:r>
      <w:r>
        <w:rPr>
          <w:rFonts w:eastAsia="Segoe UI" w:cs="Arial"/>
        </w:rPr>
        <w:t xml:space="preserve"> and scarlet material and throw them into the fire where the cow is being burned. </w:t>
      </w:r>
      <w:r>
        <w:rPr>
          <w:rFonts w:eastAsia="Segoe UI" w:cs="Arial"/>
          <w:b/>
        </w:rPr>
        <w:t xml:space="preserve">7 </w:t>
      </w:r>
      <w:r>
        <w:rPr>
          <w:rFonts w:eastAsia="Segoe UI" w:cs="Arial"/>
        </w:rPr>
        <w:t>The priest will then wash his garments and bathe himself</w:t>
      </w:r>
      <w:r w:rsidR="004B44C6">
        <w:rPr>
          <w:rStyle w:val="FootnoteReference"/>
          <w:rFonts w:eastAsia="Segoe UI" w:cs="Arial"/>
        </w:rPr>
        <w:footnoteReference w:id="1"/>
      </w:r>
      <w:r>
        <w:rPr>
          <w:rFonts w:eastAsia="Segoe UI" w:cs="Arial"/>
        </w:rPr>
        <w:t xml:space="preserve"> in water, and afterward he may come into the camp; but the priest will be unclean until the evening.</w:t>
      </w:r>
    </w:p>
    <w:p w:rsidR="00147A00" w:rsidRDefault="00147A00" w:rsidP="00147A00">
      <w:pPr>
        <w:rPr>
          <w:rFonts w:eastAsia="Segoe UI" w:cs="Arial"/>
        </w:rPr>
      </w:pPr>
      <w:r>
        <w:rPr>
          <w:rFonts w:eastAsia="Segoe UI" w:cs="Arial"/>
          <w:b/>
        </w:rPr>
        <w:t xml:space="preserve">8 </w:t>
      </w:r>
      <w:r>
        <w:rPr>
          <w:rFonts w:eastAsia="Segoe UI" w:cs="Arial"/>
        </w:rPr>
        <w:t>“‘The one who burned the cow will wash his garments in water and bathe himself</w:t>
      </w:r>
      <w:r w:rsidR="004B44C6">
        <w:rPr>
          <w:rStyle w:val="FootnoteReference"/>
          <w:rFonts w:eastAsia="Segoe UI" w:cs="Arial"/>
        </w:rPr>
        <w:footnoteReference w:id="2"/>
      </w:r>
      <w:r>
        <w:rPr>
          <w:rFonts w:eastAsia="Segoe UI" w:cs="Arial"/>
        </w:rPr>
        <w:t xml:space="preserve"> in water, and he will be unclean until the evening.</w:t>
      </w:r>
    </w:p>
    <w:p w:rsidR="00147A00" w:rsidRDefault="00147A00" w:rsidP="00147A00">
      <w:pPr>
        <w:rPr>
          <w:rFonts w:eastAsia="Segoe UI" w:cs="Arial"/>
        </w:rPr>
      </w:pPr>
      <w:r>
        <w:rPr>
          <w:rFonts w:eastAsia="Segoe UI" w:cs="Arial"/>
          <w:b/>
        </w:rPr>
        <w:t xml:space="preserve">9 </w:t>
      </w:r>
      <w:r>
        <w:rPr>
          <w:rFonts w:eastAsia="Segoe UI" w:cs="Arial"/>
        </w:rPr>
        <w:t>“‘A clean man will gather up the ashes of the cow</w:t>
      </w:r>
      <w:r w:rsidR="004B44C6">
        <w:rPr>
          <w:rStyle w:val="EndnoteReference"/>
          <w:rFonts w:eastAsia="Segoe UI" w:cs="Arial"/>
        </w:rPr>
        <w:endnoteReference w:id="5"/>
      </w:r>
      <w:r>
        <w:rPr>
          <w:rFonts w:eastAsia="Segoe UI" w:cs="Arial"/>
        </w:rPr>
        <w:t xml:space="preserve"> and deposit them outside the camp in a clean place, and they should be kept by the assembly of the Israelites to prepare water that will be used for cleansing.</w:t>
      </w:r>
      <w:r w:rsidR="004B44C6">
        <w:rPr>
          <w:rStyle w:val="EndnoteReference"/>
          <w:rFonts w:eastAsia="Segoe UI" w:cs="Arial"/>
        </w:rPr>
        <w:endnoteReference w:id="6"/>
      </w:r>
      <w:r>
        <w:rPr>
          <w:rFonts w:eastAsia="Segoe UI" w:cs="Arial"/>
        </w:rPr>
        <w:t xml:space="preserve"> It is a sin offering. </w:t>
      </w:r>
      <w:r>
        <w:rPr>
          <w:rFonts w:eastAsia="Segoe UI" w:cs="Arial"/>
          <w:b/>
        </w:rPr>
        <w:t xml:space="preserve">10 </w:t>
      </w:r>
      <w:r>
        <w:rPr>
          <w:rFonts w:eastAsia="Segoe UI" w:cs="Arial"/>
        </w:rPr>
        <w:t>The one gathering the ashes of the cow will wash his garments and be unclean until the evening.</w:t>
      </w:r>
    </w:p>
    <w:p w:rsidR="00147A00" w:rsidRDefault="00147A00" w:rsidP="00147A00">
      <w:pPr>
        <w:rPr>
          <w:rFonts w:eastAsia="Segoe UI" w:cs="Arial"/>
        </w:rPr>
      </w:pPr>
      <w:r>
        <w:rPr>
          <w:rFonts w:eastAsia="Segoe UI" w:cs="Arial"/>
        </w:rPr>
        <w:t>“‘This will serve the Israelites and the foreigner who is residing in their midst as a lasting statute.</w:t>
      </w:r>
      <w:r w:rsidR="004B44C6">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11 </w:t>
      </w:r>
      <w:r>
        <w:rPr>
          <w:rFonts w:eastAsia="Segoe UI" w:cs="Arial"/>
        </w:rPr>
        <w:t>Anyone touching any dead person</w:t>
      </w:r>
      <w:r w:rsidR="004B44C6">
        <w:rPr>
          <w:rStyle w:val="FootnoteReference"/>
          <w:rFonts w:eastAsia="Segoe UI" w:cs="Arial"/>
        </w:rPr>
        <w:footnoteReference w:id="3"/>
      </w:r>
      <w:r>
        <w:rPr>
          <w:rFonts w:eastAsia="Segoe UI" w:cs="Arial"/>
        </w:rPr>
        <w:t xml:space="preserve"> will be unclean for seven days.</w:t>
      </w:r>
      <w:r w:rsidR="004B44C6">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12 </w:t>
      </w:r>
      <w:r>
        <w:rPr>
          <w:rFonts w:eastAsia="Segoe UI" w:cs="Arial"/>
        </w:rPr>
        <w:t>Such one should purify himself with the water</w:t>
      </w:r>
      <w:r w:rsidR="004B44C6">
        <w:rPr>
          <w:rStyle w:val="FootnoteReference"/>
          <w:rFonts w:eastAsia="Segoe UI" w:cs="Arial"/>
        </w:rPr>
        <w:footnoteReference w:id="4"/>
      </w:r>
      <w:r>
        <w:rPr>
          <w:rFonts w:eastAsia="Segoe UI" w:cs="Arial"/>
        </w:rPr>
        <w:t xml:space="preserve"> on the third day, and on the seventh day he will be clean. But if he does not purify himself on the third day, on the seventh day he will not be clean. </w:t>
      </w:r>
      <w:r>
        <w:rPr>
          <w:rFonts w:eastAsia="Segoe UI" w:cs="Arial"/>
          <w:b/>
        </w:rPr>
        <w:t xml:space="preserve">13 </w:t>
      </w:r>
      <w:r>
        <w:rPr>
          <w:rFonts w:eastAsia="Segoe UI" w:cs="Arial"/>
        </w:rPr>
        <w:t>Everyone who touches the corpse of any dead person</w:t>
      </w:r>
      <w:r w:rsidR="004B44C6">
        <w:rPr>
          <w:rStyle w:val="FootnoteReference"/>
          <w:rFonts w:eastAsia="Segoe UI" w:cs="Arial"/>
        </w:rPr>
        <w:footnoteReference w:id="5"/>
      </w:r>
      <w:r>
        <w:rPr>
          <w:rFonts w:eastAsia="Segoe UI" w:cs="Arial"/>
        </w:rPr>
        <w:t xml:space="preserve"> and does not purify himself has defiled Jehovah’s tabernacle,</w:t>
      </w:r>
      <w:r w:rsidR="004B44C6">
        <w:rPr>
          <w:rStyle w:val="EndnoteReference"/>
          <w:rFonts w:eastAsia="Segoe UI" w:cs="Arial"/>
        </w:rPr>
        <w:endnoteReference w:id="9"/>
      </w:r>
      <w:r>
        <w:rPr>
          <w:rFonts w:eastAsia="Segoe UI" w:cs="Arial"/>
        </w:rPr>
        <w:t xml:space="preserve"> and that person</w:t>
      </w:r>
      <w:r w:rsidR="004B44C6">
        <w:rPr>
          <w:rStyle w:val="FootnoteReference"/>
          <w:rFonts w:eastAsia="Segoe UI" w:cs="Arial"/>
        </w:rPr>
        <w:footnoteReference w:id="6"/>
      </w:r>
      <w:r>
        <w:rPr>
          <w:rFonts w:eastAsia="Segoe UI" w:cs="Arial"/>
        </w:rPr>
        <w:t xml:space="preserve"> must be cut off</w:t>
      </w:r>
      <w:r w:rsidR="004B44C6">
        <w:rPr>
          <w:rStyle w:val="FootnoteReference"/>
          <w:rFonts w:eastAsia="Segoe UI" w:cs="Arial"/>
        </w:rPr>
        <w:footnoteReference w:id="7"/>
      </w:r>
      <w:r>
        <w:rPr>
          <w:rFonts w:eastAsia="Segoe UI" w:cs="Arial"/>
        </w:rPr>
        <w:t xml:space="preserve"> from Israel.</w:t>
      </w:r>
      <w:r w:rsidR="004B44C6">
        <w:rPr>
          <w:rStyle w:val="EndnoteReference"/>
          <w:rFonts w:eastAsia="Segoe UI" w:cs="Arial"/>
        </w:rPr>
        <w:endnoteReference w:id="10"/>
      </w:r>
      <w:r>
        <w:rPr>
          <w:rFonts w:eastAsia="Segoe UI" w:cs="Arial"/>
        </w:rPr>
        <w:t xml:space="preserve"> Because the water for cleansing</w:t>
      </w:r>
      <w:r w:rsidR="004B44C6">
        <w:rPr>
          <w:rStyle w:val="EndnoteReference"/>
          <w:rFonts w:eastAsia="Segoe UI" w:cs="Arial"/>
        </w:rPr>
        <w:endnoteReference w:id="11"/>
      </w:r>
      <w:r>
        <w:rPr>
          <w:rFonts w:eastAsia="Segoe UI" w:cs="Arial"/>
        </w:rPr>
        <w:t xml:space="preserve"> has not been sprinkled on him, he continues unclean. His uncleanness remains upon him.</w:t>
      </w:r>
    </w:p>
    <w:p w:rsidR="00147A00" w:rsidRDefault="00147A00" w:rsidP="00147A00">
      <w:pPr>
        <w:rPr>
          <w:rFonts w:eastAsia="Segoe UI" w:cs="Arial"/>
        </w:rPr>
      </w:pPr>
      <w:r>
        <w:rPr>
          <w:rFonts w:eastAsia="Segoe UI" w:cs="Arial"/>
          <w:b/>
        </w:rPr>
        <w:t xml:space="preserve">14 </w:t>
      </w:r>
      <w:r>
        <w:rPr>
          <w:rFonts w:eastAsia="Segoe UI" w:cs="Arial"/>
        </w:rPr>
        <w:t xml:space="preserve">“‘This is the law that applies when a man dies in a tent: Everyone who enters the tent and everyone who was already in the tent will be unclean for seven days. </w:t>
      </w:r>
      <w:r>
        <w:rPr>
          <w:rFonts w:eastAsia="Segoe UI" w:cs="Arial"/>
          <w:b/>
        </w:rPr>
        <w:t xml:space="preserve">15 </w:t>
      </w:r>
      <w:r>
        <w:rPr>
          <w:rFonts w:eastAsia="Segoe UI" w:cs="Arial"/>
        </w:rPr>
        <w:t>Every opened container with no lid tied on it is unclean.</w:t>
      </w:r>
      <w:r w:rsidR="004B44C6">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16 </w:t>
      </w:r>
      <w:r>
        <w:rPr>
          <w:rFonts w:eastAsia="Segoe UI" w:cs="Arial"/>
        </w:rPr>
        <w:t>Everyone in the open field who touches someone killed with the sword or a corpse or the bone of a man or a burial place will be unclean for seven days.</w:t>
      </w:r>
      <w:r w:rsidR="004B44C6">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17 </w:t>
      </w:r>
      <w:r>
        <w:rPr>
          <w:rFonts w:eastAsia="Segoe UI" w:cs="Arial"/>
        </w:rPr>
        <w:t xml:space="preserve">They should take for the unclean one some of the ashes of the sin offering that was burned and pour running water on them in a container. </w:t>
      </w:r>
      <w:r>
        <w:rPr>
          <w:rFonts w:eastAsia="Segoe UI" w:cs="Arial"/>
          <w:b/>
        </w:rPr>
        <w:t xml:space="preserve">18 </w:t>
      </w:r>
      <w:r>
        <w:rPr>
          <w:rFonts w:eastAsia="Segoe UI" w:cs="Arial"/>
        </w:rPr>
        <w:t>Then a clean man</w:t>
      </w:r>
      <w:r w:rsidR="004B44C6">
        <w:rPr>
          <w:rStyle w:val="EndnoteReference"/>
          <w:rFonts w:eastAsia="Segoe UI" w:cs="Arial"/>
        </w:rPr>
        <w:endnoteReference w:id="14"/>
      </w:r>
      <w:r>
        <w:rPr>
          <w:rFonts w:eastAsia="Segoe UI" w:cs="Arial"/>
        </w:rPr>
        <w:t xml:space="preserve"> will take hyssop</w:t>
      </w:r>
      <w:r w:rsidR="004B44C6">
        <w:rPr>
          <w:rStyle w:val="EndnoteReference"/>
          <w:rFonts w:eastAsia="Segoe UI" w:cs="Arial"/>
        </w:rPr>
        <w:endnoteReference w:id="15"/>
      </w:r>
      <w:r>
        <w:rPr>
          <w:rFonts w:eastAsia="Segoe UI" w:cs="Arial"/>
        </w:rPr>
        <w:t xml:space="preserve"> and dip it into the water and spatter it on the tent and on all the containers and on the people</w:t>
      </w:r>
      <w:r w:rsidR="004B44C6">
        <w:rPr>
          <w:rStyle w:val="FootnoteReference"/>
          <w:rFonts w:eastAsia="Segoe UI" w:cs="Arial"/>
        </w:rPr>
        <w:footnoteReference w:id="8"/>
      </w:r>
      <w:r>
        <w:rPr>
          <w:rFonts w:eastAsia="Segoe UI" w:cs="Arial"/>
        </w:rPr>
        <w:t xml:space="preserve"> who were there and on the one who touched the bone or the slain one or the corpse or the burial place. </w:t>
      </w:r>
      <w:r>
        <w:rPr>
          <w:rFonts w:eastAsia="Segoe UI" w:cs="Arial"/>
          <w:b/>
        </w:rPr>
        <w:t xml:space="preserve">19 </w:t>
      </w:r>
      <w:r>
        <w:rPr>
          <w:rFonts w:eastAsia="Segoe UI" w:cs="Arial"/>
        </w:rPr>
        <w:t>The clean person will spatter it on the unclean one on the third day and on the seventh day, and he will purify him from sin on the seventh day;</w:t>
      </w:r>
      <w:r w:rsidR="004B44C6">
        <w:rPr>
          <w:rStyle w:val="EndnoteReference"/>
          <w:rFonts w:eastAsia="Segoe UI" w:cs="Arial"/>
        </w:rPr>
        <w:endnoteReference w:id="16"/>
      </w:r>
      <w:r>
        <w:rPr>
          <w:rFonts w:eastAsia="Segoe UI" w:cs="Arial"/>
        </w:rPr>
        <w:t xml:space="preserve"> then he should wash his garments and bathe in water, and he will become clean in the evening.</w:t>
      </w:r>
    </w:p>
    <w:p w:rsidR="00147A00" w:rsidRDefault="00147A00" w:rsidP="00147A00">
      <w:pPr>
        <w:rPr>
          <w:rFonts w:eastAsia="Segoe UI" w:cs="Arial"/>
        </w:rPr>
      </w:pPr>
      <w:r>
        <w:rPr>
          <w:rFonts w:eastAsia="Segoe UI" w:cs="Arial"/>
          <w:b/>
        </w:rPr>
        <w:t xml:space="preserve">20 </w:t>
      </w:r>
      <w:r>
        <w:rPr>
          <w:rFonts w:eastAsia="Segoe UI" w:cs="Arial"/>
        </w:rPr>
        <w:t>“‘But the man who is unclean and who will not purify himself, that person</w:t>
      </w:r>
      <w:r w:rsidR="004B44C6">
        <w:rPr>
          <w:rStyle w:val="FootnoteReference"/>
          <w:rFonts w:eastAsia="Segoe UI" w:cs="Arial"/>
        </w:rPr>
        <w:footnoteReference w:id="9"/>
      </w:r>
      <w:r>
        <w:rPr>
          <w:rFonts w:eastAsia="Segoe UI" w:cs="Arial"/>
        </w:rPr>
        <w:t xml:space="preserve"> must be cut off</w:t>
      </w:r>
      <w:r w:rsidR="004B44C6">
        <w:rPr>
          <w:rStyle w:val="FootnoteReference"/>
          <w:rFonts w:eastAsia="Segoe UI" w:cs="Arial"/>
        </w:rPr>
        <w:footnoteReference w:id="10"/>
      </w:r>
      <w:r>
        <w:rPr>
          <w:rFonts w:eastAsia="Segoe UI" w:cs="Arial"/>
        </w:rPr>
        <w:t xml:space="preserve"> from the congregation,</w:t>
      </w:r>
      <w:r w:rsidR="004B44C6">
        <w:rPr>
          <w:rStyle w:val="EndnoteReference"/>
          <w:rFonts w:eastAsia="Segoe UI" w:cs="Arial"/>
        </w:rPr>
        <w:endnoteReference w:id="17"/>
      </w:r>
      <w:r>
        <w:rPr>
          <w:rFonts w:eastAsia="Segoe UI" w:cs="Arial"/>
        </w:rPr>
        <w:t xml:space="preserve"> because he has defiled Jehovah’s sanctuary. The water for cleansing was not sprinkled on him, so he is unclean.</w:t>
      </w:r>
    </w:p>
    <w:p w:rsidR="00147A00" w:rsidRDefault="00147A00" w:rsidP="00147A00">
      <w:pPr>
        <w:rPr>
          <w:rFonts w:ascii="MEPS Bookman WTS" w:eastAsia="Segoe UI" w:hAnsi="MEPS Bookman WTS" w:cs="Segoe UI"/>
        </w:rPr>
      </w:pPr>
      <w:r>
        <w:rPr>
          <w:rFonts w:eastAsia="Segoe UI" w:cs="Arial"/>
          <w:b/>
        </w:rPr>
        <w:t xml:space="preserve">21 </w:t>
      </w:r>
      <w:r>
        <w:rPr>
          <w:rFonts w:eastAsia="Segoe UI" w:cs="Arial"/>
        </w:rPr>
        <w:t>“‘This will serve as a lasting statute for them: The one spattering the water for cleansing</w:t>
      </w:r>
      <w:r w:rsidR="004B44C6">
        <w:rPr>
          <w:rStyle w:val="EndnoteReference"/>
          <w:rFonts w:eastAsia="Segoe UI" w:cs="Arial"/>
        </w:rPr>
        <w:endnoteReference w:id="18"/>
      </w:r>
      <w:r>
        <w:rPr>
          <w:rFonts w:eastAsia="Segoe UI" w:cs="Arial"/>
        </w:rPr>
        <w:t xml:space="preserve"> should wash his garments, and the one touching the water for cleansing will be unclean until the evening. </w:t>
      </w:r>
      <w:r>
        <w:rPr>
          <w:rFonts w:eastAsia="Segoe UI" w:cs="Arial"/>
          <w:b/>
        </w:rPr>
        <w:t xml:space="preserve">22 </w:t>
      </w:r>
      <w:r>
        <w:rPr>
          <w:rFonts w:eastAsia="Segoe UI" w:cs="Arial"/>
        </w:rPr>
        <w:t>Anything the unclean one touches will be unclean, and the person</w:t>
      </w:r>
      <w:r w:rsidR="004B44C6">
        <w:rPr>
          <w:rStyle w:val="FootnoteReference"/>
          <w:rFonts w:eastAsia="Segoe UI" w:cs="Arial"/>
        </w:rPr>
        <w:footnoteReference w:id="11"/>
      </w:r>
      <w:r>
        <w:rPr>
          <w:rFonts w:eastAsia="Segoe UI" w:cs="Arial"/>
        </w:rPr>
        <w:t xml:space="preserve"> who touches it will be unclean until the evening.’”</w:t>
      </w:r>
      <w:r w:rsidR="004B44C6">
        <w:rPr>
          <w:rStyle w:val="EndnoteReference"/>
          <w:rFonts w:eastAsia="Segoe UI" w:cs="Arial"/>
        </w:rPr>
        <w:endnoteReference w:id="19"/>
      </w:r>
    </w:p>
    <w:p w:rsidR="00762BCB" w:rsidRPr="00147A00" w:rsidRDefault="00762BCB" w:rsidP="00147A00"/>
    <w:sectPr w:rsidR="00762BCB" w:rsidRPr="00147A00"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4B4D" w:rsidRDefault="00174B4D">
      <w:r>
        <w:separator/>
      </w:r>
    </w:p>
  </w:endnote>
  <w:endnote w:type="continuationSeparator" w:id="0">
    <w:p w:rsidR="00174B4D" w:rsidRDefault="00174B4D">
      <w:r>
        <w:continuationSeparator/>
      </w:r>
    </w:p>
  </w:endnote>
  <w:endnote w:id="1">
    <w:p w:rsidR="004B44C6" w:rsidRDefault="004B44C6">
      <w:pPr>
        <w:pStyle w:val="EndnoteText"/>
      </w:pPr>
      <w:r>
        <w:rPr>
          <w:rStyle w:val="EndnoteReference"/>
        </w:rPr>
        <w:endnoteRef/>
      </w:r>
      <w:r>
        <w:t xml:space="preserve"> Leviticus 22:20; Malachi 1:14</w:t>
      </w:r>
    </w:p>
  </w:endnote>
  <w:endnote w:id="2">
    <w:p w:rsidR="004B44C6" w:rsidRDefault="004B44C6">
      <w:pPr>
        <w:pStyle w:val="EndnoteText"/>
      </w:pPr>
      <w:r>
        <w:rPr>
          <w:rStyle w:val="EndnoteReference"/>
        </w:rPr>
        <w:endnoteRef/>
      </w:r>
      <w:r>
        <w:t xml:space="preserve"> Hebrews 9:13, 14</w:t>
      </w:r>
    </w:p>
  </w:endnote>
  <w:endnote w:id="3">
    <w:p w:rsidR="004B44C6" w:rsidRDefault="004B44C6">
      <w:pPr>
        <w:pStyle w:val="EndnoteText"/>
      </w:pPr>
      <w:r>
        <w:rPr>
          <w:rStyle w:val="EndnoteReference"/>
        </w:rPr>
        <w:endnoteRef/>
      </w:r>
      <w:r>
        <w:t xml:space="preserve"> Leviticus 4:11, 12</w:t>
      </w:r>
    </w:p>
  </w:endnote>
  <w:endnote w:id="4">
    <w:p w:rsidR="004B44C6" w:rsidRDefault="004B44C6">
      <w:pPr>
        <w:pStyle w:val="EndnoteText"/>
      </w:pPr>
      <w:r>
        <w:rPr>
          <w:rStyle w:val="EndnoteReference"/>
        </w:rPr>
        <w:endnoteRef/>
      </w:r>
      <w:r>
        <w:t xml:space="preserve"> Psalms 51:7</w:t>
      </w:r>
    </w:p>
  </w:endnote>
  <w:endnote w:id="5">
    <w:p w:rsidR="004B44C6" w:rsidRDefault="004B44C6">
      <w:pPr>
        <w:pStyle w:val="EndnoteText"/>
      </w:pPr>
      <w:r>
        <w:rPr>
          <w:rStyle w:val="EndnoteReference"/>
        </w:rPr>
        <w:endnoteRef/>
      </w:r>
      <w:r>
        <w:t xml:space="preserve"> Hebrews 9:13, 14</w:t>
      </w:r>
    </w:p>
  </w:endnote>
  <w:endnote w:id="6">
    <w:p w:rsidR="004B44C6" w:rsidRDefault="004B44C6">
      <w:pPr>
        <w:pStyle w:val="EndnoteText"/>
      </w:pPr>
      <w:r>
        <w:rPr>
          <w:rStyle w:val="EndnoteReference"/>
        </w:rPr>
        <w:endnoteRef/>
      </w:r>
      <w:r>
        <w:t xml:space="preserve"> Numbers 19:13, 21</w:t>
      </w:r>
    </w:p>
  </w:endnote>
  <w:endnote w:id="7">
    <w:p w:rsidR="004B44C6" w:rsidRDefault="004B44C6">
      <w:pPr>
        <w:pStyle w:val="EndnoteText"/>
      </w:pPr>
      <w:r>
        <w:rPr>
          <w:rStyle w:val="EndnoteReference"/>
        </w:rPr>
        <w:endnoteRef/>
      </w:r>
      <w:r>
        <w:t xml:space="preserve"> Exodus 12:49; Leviticus 24:22; Numbers 15:15</w:t>
      </w:r>
    </w:p>
  </w:endnote>
  <w:endnote w:id="8">
    <w:p w:rsidR="004B44C6" w:rsidRDefault="004B44C6">
      <w:pPr>
        <w:pStyle w:val="EndnoteText"/>
      </w:pPr>
      <w:r>
        <w:rPr>
          <w:rStyle w:val="EndnoteReference"/>
        </w:rPr>
        <w:endnoteRef/>
      </w:r>
      <w:r>
        <w:t xml:space="preserve"> Leviticus 21:1, 11; Numbers 5:2; 6:9; 9:6; 31:19</w:t>
      </w:r>
    </w:p>
  </w:endnote>
  <w:endnote w:id="9">
    <w:p w:rsidR="004B44C6" w:rsidRDefault="004B44C6">
      <w:pPr>
        <w:pStyle w:val="EndnoteText"/>
      </w:pPr>
      <w:r>
        <w:rPr>
          <w:rStyle w:val="EndnoteReference"/>
        </w:rPr>
        <w:endnoteRef/>
      </w:r>
      <w:r>
        <w:t xml:space="preserve"> Leviticus 15:31</w:t>
      </w:r>
    </w:p>
  </w:endnote>
  <w:endnote w:id="10">
    <w:p w:rsidR="004B44C6" w:rsidRDefault="004B44C6">
      <w:pPr>
        <w:pStyle w:val="EndnoteText"/>
      </w:pPr>
      <w:r>
        <w:rPr>
          <w:rStyle w:val="EndnoteReference"/>
        </w:rPr>
        <w:endnoteRef/>
      </w:r>
      <w:r>
        <w:t xml:space="preserve"> Leviticus 22:3; Hebrews 10:28</w:t>
      </w:r>
    </w:p>
  </w:endnote>
  <w:endnote w:id="11">
    <w:p w:rsidR="004B44C6" w:rsidRDefault="004B44C6">
      <w:pPr>
        <w:pStyle w:val="EndnoteText"/>
      </w:pPr>
      <w:r>
        <w:rPr>
          <w:rStyle w:val="EndnoteReference"/>
        </w:rPr>
        <w:endnoteRef/>
      </w:r>
      <w:r>
        <w:t xml:space="preserve"> Numbers 19:9</w:t>
      </w:r>
    </w:p>
  </w:endnote>
  <w:endnote w:id="12">
    <w:p w:rsidR="004B44C6" w:rsidRDefault="004B44C6">
      <w:pPr>
        <w:pStyle w:val="EndnoteText"/>
      </w:pPr>
      <w:r>
        <w:rPr>
          <w:rStyle w:val="EndnoteReference"/>
        </w:rPr>
        <w:endnoteRef/>
      </w:r>
      <w:r>
        <w:t xml:space="preserve"> Leviticus 11:31, 32</w:t>
      </w:r>
    </w:p>
  </w:endnote>
  <w:endnote w:id="13">
    <w:p w:rsidR="004B44C6" w:rsidRDefault="004B44C6">
      <w:pPr>
        <w:pStyle w:val="EndnoteText"/>
      </w:pPr>
      <w:r>
        <w:rPr>
          <w:rStyle w:val="EndnoteReference"/>
        </w:rPr>
        <w:endnoteRef/>
      </w:r>
      <w:r>
        <w:t xml:space="preserve"> Numbers 19:11; 31:19</w:t>
      </w:r>
    </w:p>
  </w:endnote>
  <w:endnote w:id="14">
    <w:p w:rsidR="004B44C6" w:rsidRDefault="004B44C6">
      <w:pPr>
        <w:pStyle w:val="EndnoteText"/>
      </w:pPr>
      <w:r>
        <w:rPr>
          <w:rStyle w:val="EndnoteReference"/>
        </w:rPr>
        <w:endnoteRef/>
      </w:r>
      <w:r>
        <w:t xml:space="preserve"> Numbers 19:9</w:t>
      </w:r>
    </w:p>
  </w:endnote>
  <w:endnote w:id="15">
    <w:p w:rsidR="004B44C6" w:rsidRDefault="004B44C6">
      <w:pPr>
        <w:pStyle w:val="EndnoteText"/>
      </w:pPr>
      <w:r>
        <w:rPr>
          <w:rStyle w:val="EndnoteReference"/>
        </w:rPr>
        <w:endnoteRef/>
      </w:r>
      <w:r>
        <w:t xml:space="preserve"> Psalms 51:7</w:t>
      </w:r>
    </w:p>
  </w:endnote>
  <w:endnote w:id="16">
    <w:p w:rsidR="004B44C6" w:rsidRDefault="004B44C6">
      <w:pPr>
        <w:pStyle w:val="EndnoteText"/>
      </w:pPr>
      <w:r>
        <w:rPr>
          <w:rStyle w:val="EndnoteReference"/>
        </w:rPr>
        <w:endnoteRef/>
      </w:r>
      <w:r>
        <w:t xml:space="preserve"> Leviticus 14:9; Numbers 19:12; 31:19</w:t>
      </w:r>
    </w:p>
  </w:endnote>
  <w:endnote w:id="17">
    <w:p w:rsidR="004B44C6" w:rsidRDefault="004B44C6">
      <w:pPr>
        <w:pStyle w:val="EndnoteText"/>
      </w:pPr>
      <w:r>
        <w:rPr>
          <w:rStyle w:val="EndnoteReference"/>
        </w:rPr>
        <w:endnoteRef/>
      </w:r>
      <w:r>
        <w:t xml:space="preserve"> Numbers 19:13</w:t>
      </w:r>
    </w:p>
  </w:endnote>
  <w:endnote w:id="18">
    <w:p w:rsidR="004B44C6" w:rsidRDefault="004B44C6">
      <w:pPr>
        <w:pStyle w:val="EndnoteText"/>
      </w:pPr>
      <w:r>
        <w:rPr>
          <w:rStyle w:val="EndnoteReference"/>
        </w:rPr>
        <w:endnoteRef/>
      </w:r>
      <w:r>
        <w:t xml:space="preserve"> Numbers 19:18; Hebrews 9:9, 10, 13, 14</w:t>
      </w:r>
    </w:p>
  </w:endnote>
  <w:endnote w:id="19">
    <w:p w:rsidR="004B44C6" w:rsidRDefault="004B44C6">
      <w:pPr>
        <w:pStyle w:val="EndnoteText"/>
      </w:pPr>
      <w:r>
        <w:rPr>
          <w:rStyle w:val="EndnoteReference"/>
        </w:rPr>
        <w:endnoteRef/>
      </w:r>
      <w:r>
        <w:t xml:space="preserve"> Leviticus 15:4, 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4B4D" w:rsidRDefault="00174B4D">
      <w:r>
        <w:separator/>
      </w:r>
    </w:p>
  </w:footnote>
  <w:footnote w:type="continuationSeparator" w:id="0">
    <w:p w:rsidR="00174B4D" w:rsidRDefault="00174B4D">
      <w:r>
        <w:continuationSeparator/>
      </w:r>
    </w:p>
  </w:footnote>
  <w:footnote w:id="1">
    <w:p w:rsidR="004B44C6" w:rsidRDefault="004B44C6">
      <w:pPr>
        <w:pStyle w:val="FootnoteText"/>
      </w:pPr>
      <w:r>
        <w:rPr>
          <w:rStyle w:val="FootnoteReference"/>
        </w:rPr>
        <w:footnoteRef/>
      </w:r>
      <w:r>
        <w:t xml:space="preserve"> </w:t>
      </w:r>
      <w:r>
        <w:t>Lit., “his flesh.”</w:t>
      </w:r>
    </w:p>
  </w:footnote>
  <w:footnote w:id="2">
    <w:p w:rsidR="004B44C6" w:rsidRDefault="004B44C6">
      <w:pPr>
        <w:pStyle w:val="FootnoteText"/>
      </w:pPr>
      <w:r>
        <w:rPr>
          <w:rStyle w:val="FootnoteReference"/>
        </w:rPr>
        <w:footnoteRef/>
      </w:r>
      <w:r>
        <w:t xml:space="preserve"> </w:t>
      </w:r>
      <w:r>
        <w:t>Lit., “his flesh.”</w:t>
      </w:r>
    </w:p>
  </w:footnote>
  <w:footnote w:id="3">
    <w:p w:rsidR="004B44C6" w:rsidRDefault="004B44C6">
      <w:pPr>
        <w:pStyle w:val="FootnoteText"/>
      </w:pPr>
      <w:r>
        <w:rPr>
          <w:rStyle w:val="FootnoteReference"/>
        </w:rPr>
        <w:footnoteRef/>
      </w:r>
      <w:r>
        <w:t xml:space="preserve"> </w:t>
      </w:r>
      <w:r>
        <w:t>Or “the corpse of any human soul.” See Glossary.</w:t>
      </w:r>
    </w:p>
  </w:footnote>
  <w:footnote w:id="4">
    <w:p w:rsidR="004B44C6" w:rsidRDefault="004B44C6">
      <w:pPr>
        <w:pStyle w:val="FootnoteText"/>
      </w:pPr>
      <w:r>
        <w:rPr>
          <w:rStyle w:val="FootnoteReference"/>
        </w:rPr>
        <w:footnoteRef/>
      </w:r>
      <w:r>
        <w:t xml:space="preserve"> </w:t>
      </w:r>
      <w:r>
        <w:t>Lit., “it.”</w:t>
      </w:r>
    </w:p>
  </w:footnote>
  <w:footnote w:id="5">
    <w:p w:rsidR="004B44C6" w:rsidRDefault="004B44C6">
      <w:pPr>
        <w:pStyle w:val="FootnoteText"/>
      </w:pPr>
      <w:r>
        <w:rPr>
          <w:rStyle w:val="FootnoteReference"/>
        </w:rPr>
        <w:footnoteRef/>
      </w:r>
      <w:r>
        <w:t xml:space="preserve"> </w:t>
      </w:r>
      <w:r>
        <w:t>Or “a corpse, the soul of any human who has died.” See Glossary.</w:t>
      </w:r>
    </w:p>
  </w:footnote>
  <w:footnote w:id="6">
    <w:p w:rsidR="004B44C6" w:rsidRDefault="004B44C6">
      <w:pPr>
        <w:pStyle w:val="FootnoteText"/>
      </w:pPr>
      <w:r>
        <w:rPr>
          <w:rStyle w:val="FootnoteReference"/>
        </w:rPr>
        <w:footnoteRef/>
      </w:r>
      <w:r>
        <w:t xml:space="preserve"> </w:t>
      </w:r>
      <w:r>
        <w:t>Or “soul.”</w:t>
      </w:r>
    </w:p>
  </w:footnote>
  <w:footnote w:id="7">
    <w:p w:rsidR="004B44C6" w:rsidRDefault="004B44C6">
      <w:pPr>
        <w:pStyle w:val="FootnoteText"/>
      </w:pPr>
      <w:r>
        <w:rPr>
          <w:rStyle w:val="FootnoteReference"/>
        </w:rPr>
        <w:footnoteRef/>
      </w:r>
      <w:r>
        <w:t xml:space="preserve"> </w:t>
      </w:r>
      <w:r>
        <w:t>Or “put to death.”</w:t>
      </w:r>
    </w:p>
  </w:footnote>
  <w:footnote w:id="8">
    <w:p w:rsidR="004B44C6" w:rsidRDefault="004B44C6">
      <w:pPr>
        <w:pStyle w:val="FootnoteText"/>
      </w:pPr>
      <w:r>
        <w:rPr>
          <w:rStyle w:val="FootnoteReference"/>
        </w:rPr>
        <w:footnoteRef/>
      </w:r>
      <w:r>
        <w:t xml:space="preserve"> </w:t>
      </w:r>
      <w:r>
        <w:t>Or “souls.”</w:t>
      </w:r>
    </w:p>
  </w:footnote>
  <w:footnote w:id="9">
    <w:p w:rsidR="004B44C6" w:rsidRDefault="004B44C6">
      <w:pPr>
        <w:pStyle w:val="FootnoteText"/>
      </w:pPr>
      <w:r>
        <w:rPr>
          <w:rStyle w:val="FootnoteReference"/>
        </w:rPr>
        <w:footnoteRef/>
      </w:r>
      <w:r>
        <w:t xml:space="preserve"> </w:t>
      </w:r>
      <w:r>
        <w:t>Or “soul.”</w:t>
      </w:r>
    </w:p>
  </w:footnote>
  <w:footnote w:id="10">
    <w:p w:rsidR="004B44C6" w:rsidRDefault="004B44C6">
      <w:pPr>
        <w:pStyle w:val="FootnoteText"/>
      </w:pPr>
      <w:r>
        <w:rPr>
          <w:rStyle w:val="FootnoteReference"/>
        </w:rPr>
        <w:footnoteRef/>
      </w:r>
      <w:r>
        <w:t xml:space="preserve"> </w:t>
      </w:r>
      <w:r>
        <w:t>Or “put to death.”</w:t>
      </w:r>
    </w:p>
  </w:footnote>
  <w:footnote w:id="11">
    <w:p w:rsidR="004B44C6" w:rsidRDefault="004B44C6">
      <w:pPr>
        <w:pStyle w:val="FootnoteText"/>
      </w:pPr>
      <w:r>
        <w:rPr>
          <w:rStyle w:val="FootnoteReference"/>
        </w:rPr>
        <w:footnoteRef/>
      </w:r>
      <w:r>
        <w:t xml:space="preserve"> </w:t>
      </w:r>
      <w:r>
        <w:t>Or “soul.”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B44C6">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4B44C6">
        <w:t>Numbers Chapter 19</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4B44C6">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B44C6">
      <w:rPr>
        <w:noProof/>
        <w:snapToGrid w:val="0"/>
      </w:rPr>
      <w:t>Numbers 19.Advisor.docx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4B44C6">
        <w:t>Numbers Chapter 19</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4B44C6">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B44C6">
      <w:rPr>
        <w:noProof/>
        <w:snapToGrid w:val="0"/>
      </w:rPr>
      <w:t>Numbers 19.Advisor.docx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4B44C6">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4B44C6">
      <w:t>&lt;not set&gt;</w:t>
    </w:r>
    <w:r>
      <w:fldChar w:fldCharType="end"/>
    </w:r>
    <w:r>
      <w:tab/>
      <w:t xml:space="preserve">Checker: </w:t>
    </w:r>
    <w:r>
      <w:fldChar w:fldCharType="begin"/>
    </w:r>
    <w:r>
      <w:instrText xml:space="preserve"> DOCPROPERTY "_RoleChecker" </w:instrText>
    </w:r>
    <w:r>
      <w:fldChar w:fldCharType="separate"/>
    </w:r>
    <w:r w:rsidR="004B44C6">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4B44C6">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B4D"/>
    <w:rsid w:val="00147A00"/>
    <w:rsid w:val="00174B4D"/>
    <w:rsid w:val="00245EDD"/>
    <w:rsid w:val="0026230D"/>
    <w:rsid w:val="002B524D"/>
    <w:rsid w:val="002C00A8"/>
    <w:rsid w:val="00310508"/>
    <w:rsid w:val="003B380B"/>
    <w:rsid w:val="004500A2"/>
    <w:rsid w:val="004B44C6"/>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9fbac346a04d4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B44C6"/>
    <w:pPr>
      <w:spacing w:line="240" w:lineRule="auto"/>
    </w:pPr>
    <w:rPr>
      <w:sz w:val="20"/>
      <w:szCs w:val="20"/>
    </w:rPr>
  </w:style>
  <w:style w:type="character" w:customStyle="1" w:styleId="FootnoteTextChar">
    <w:name w:val="Footnote Text Char"/>
    <w:basedOn w:val="DefaultParagraphFont"/>
    <w:link w:val="FootnoteText"/>
    <w:rsid w:val="004B44C6"/>
    <w:rPr>
      <w:rFonts w:ascii="Arial" w:eastAsia="Times New Roman" w:hAnsi="Arial" w:cs="Latha"/>
      <w:lang w:val="en-US" w:eastAsia="en-US" w:bidi="ta-IN"/>
    </w:rPr>
  </w:style>
  <w:style w:type="character" w:styleId="FootnoteReference">
    <w:name w:val="footnote reference"/>
    <w:basedOn w:val="DefaultParagraphFont"/>
    <w:rsid w:val="004B44C6"/>
    <w:rPr>
      <w:vertAlign w:val="superscript"/>
    </w:rPr>
  </w:style>
  <w:style w:type="paragraph" w:styleId="EndnoteText">
    <w:name w:val="endnote text"/>
    <w:basedOn w:val="Normal"/>
    <w:link w:val="EndnoteTextChar"/>
    <w:rsid w:val="004B44C6"/>
    <w:pPr>
      <w:spacing w:line="240" w:lineRule="auto"/>
    </w:pPr>
    <w:rPr>
      <w:sz w:val="20"/>
      <w:szCs w:val="20"/>
    </w:rPr>
  </w:style>
  <w:style w:type="character" w:customStyle="1" w:styleId="EndnoteTextChar">
    <w:name w:val="Endnote Text Char"/>
    <w:basedOn w:val="DefaultParagraphFont"/>
    <w:link w:val="EndnoteText"/>
    <w:rsid w:val="004B44C6"/>
    <w:rPr>
      <w:rFonts w:ascii="Arial" w:eastAsia="Times New Roman" w:hAnsi="Arial" w:cs="Latha"/>
      <w:lang w:val="en-US" w:eastAsia="en-US" w:bidi="ta-IN"/>
    </w:rPr>
  </w:style>
  <w:style w:type="character" w:styleId="EndnoteReference">
    <w:name w:val="endnote reference"/>
    <w:basedOn w:val="DefaultParagraphFont"/>
    <w:rsid w:val="004B44C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B44C6"/>
    <w:pPr>
      <w:spacing w:line="240" w:lineRule="auto"/>
    </w:pPr>
    <w:rPr>
      <w:sz w:val="20"/>
      <w:szCs w:val="20"/>
    </w:rPr>
  </w:style>
  <w:style w:type="character" w:customStyle="1" w:styleId="FootnoteTextChar">
    <w:name w:val="Footnote Text Char"/>
    <w:basedOn w:val="DefaultParagraphFont"/>
    <w:link w:val="FootnoteText"/>
    <w:rsid w:val="004B44C6"/>
    <w:rPr>
      <w:rFonts w:ascii="Arial" w:eastAsia="Times New Roman" w:hAnsi="Arial" w:cs="Latha"/>
      <w:lang w:val="en-US" w:eastAsia="en-US" w:bidi="ta-IN"/>
    </w:rPr>
  </w:style>
  <w:style w:type="character" w:styleId="FootnoteReference">
    <w:name w:val="footnote reference"/>
    <w:basedOn w:val="DefaultParagraphFont"/>
    <w:rsid w:val="004B44C6"/>
    <w:rPr>
      <w:vertAlign w:val="superscript"/>
    </w:rPr>
  </w:style>
  <w:style w:type="paragraph" w:styleId="EndnoteText">
    <w:name w:val="endnote text"/>
    <w:basedOn w:val="Normal"/>
    <w:link w:val="EndnoteTextChar"/>
    <w:rsid w:val="004B44C6"/>
    <w:pPr>
      <w:spacing w:line="240" w:lineRule="auto"/>
    </w:pPr>
    <w:rPr>
      <w:sz w:val="20"/>
      <w:szCs w:val="20"/>
    </w:rPr>
  </w:style>
  <w:style w:type="character" w:customStyle="1" w:styleId="EndnoteTextChar">
    <w:name w:val="Endnote Text Char"/>
    <w:basedOn w:val="DefaultParagraphFont"/>
    <w:link w:val="EndnoteText"/>
    <w:rsid w:val="004B44C6"/>
    <w:rPr>
      <w:rFonts w:ascii="Arial" w:eastAsia="Times New Roman" w:hAnsi="Arial" w:cs="Latha"/>
      <w:lang w:val="en-US" w:eastAsia="en-US" w:bidi="ta-IN"/>
    </w:rPr>
  </w:style>
  <w:style w:type="character" w:styleId="EndnoteReference">
    <w:name w:val="endnote reference"/>
    <w:basedOn w:val="DefaultParagraphFont"/>
    <w:rsid w:val="004B44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9fbac346a04d4b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692</ap:Words>
  <ap:Characters>2937</ap:Characters>
  <ap:Application>Microsoft Office Word</ap:Application>
  <ap:DocSecurity>0</ap:DocSecurity>
  <ap:Lines>48</ap:Lines>
  <ap:Paragraphs>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3621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19</dc:title>
  <dc:subject/>
  <dc:creator>David Waterson</dc:creator>
  <cp:keywords/>
  <dc:description/>
  <cp:lastModifiedBy>David Waterson</cp:lastModifiedBy>
  <cp:revision>3</cp:revision>
  <dcterms:created xsi:type="dcterms:W3CDTF">2019-08-04T14:17:00Z</dcterms:created>
  <dcterms:modified xsi:type="dcterms:W3CDTF">2019-08-04T14:17:00Z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19.docx</vt:lpwstr>
  </property>
  <property fmtid="{D5CDD505-2E9C-101B-9397-08002B2CF9AE}" pid="9" name="_TranslationDocumentId">
    <vt:i4>19466</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4019</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19</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