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0E55" w:rsidRDefault="00660E55" w:rsidP="00660E55">
      <w:pPr>
        <w:rPr>
          <w:rFonts w:ascii="MEPS Bookman WTS" w:eastAsia="Segoe UI" w:hAnsi="MEPS Bookman WTS" w:cs="Segoe UI"/>
        </w:rPr>
      </w:pPr>
      <w:bookmarkStart w:id="0" w:name="_GoBack"/>
      <w:bookmarkEnd w:id="0"/>
      <w:r>
        <w:rPr>
          <w:rFonts w:eastAsia="Segoe UI" w:cs="Arial"/>
          <w:b/>
        </w:rPr>
        <w:t xml:space="preserve">27:1 </w:t>
      </w:r>
      <w:r>
        <w:rPr>
          <w:rFonts w:eastAsia="Segoe UI" w:cs="Arial"/>
        </w:rPr>
        <w:t>Then the daughters of Ze·lo′phe·had,</w:t>
      </w:r>
      <w:r w:rsidR="003D4645">
        <w:rPr>
          <w:rStyle w:val="EndnoteReference"/>
          <w:rFonts w:eastAsia="Segoe UI" w:cs="Arial"/>
        </w:rPr>
        <w:endnoteReference w:id="1"/>
      </w:r>
      <w:r>
        <w:rPr>
          <w:rFonts w:eastAsia="Segoe UI" w:cs="Arial"/>
        </w:rPr>
        <w:t xml:space="preserve"> the son of He′pher, the son of Gil′e·ad, the son of Ma′chir, the son of Ma·nas′seh, of the families of Ma·nas′seh the son of Joseph, approached. The names of his daughters were Mah′lah, Noah, Hog′lah, Mil′cah, and Tir′zah. </w:t>
      </w:r>
      <w:r>
        <w:rPr>
          <w:rFonts w:eastAsia="Segoe UI" w:cs="Arial"/>
          <w:b/>
        </w:rPr>
        <w:t xml:space="preserve">2 </w:t>
      </w:r>
      <w:r>
        <w:rPr>
          <w:rFonts w:eastAsia="Segoe UI" w:cs="Arial"/>
        </w:rPr>
        <w:t>They stood before Moses, El·e·a′zar the priest, the chieftains,</w:t>
      </w:r>
      <w:r w:rsidR="003D4645">
        <w:rPr>
          <w:rStyle w:val="EndnoteReference"/>
          <w:rFonts w:eastAsia="Segoe UI" w:cs="Arial"/>
        </w:rPr>
        <w:endnoteReference w:id="2"/>
      </w:r>
      <w:r>
        <w:rPr>
          <w:rFonts w:eastAsia="Segoe UI" w:cs="Arial"/>
        </w:rPr>
        <w:t xml:space="preserve"> and all the assembly at the entrance of the tent of meeting and said: </w:t>
      </w:r>
      <w:r>
        <w:rPr>
          <w:rFonts w:eastAsia="Segoe UI" w:cs="Arial"/>
          <w:b/>
        </w:rPr>
        <w:t xml:space="preserve">3 </w:t>
      </w:r>
      <w:r>
        <w:rPr>
          <w:rFonts w:eastAsia="Segoe UI" w:cs="Arial"/>
        </w:rPr>
        <w:t>“Our father died in the wilderness, but he was not among the group who banded together against Jehovah, the supporters of Kor′ah,</w:t>
      </w:r>
      <w:r w:rsidR="003D4645">
        <w:rPr>
          <w:rStyle w:val="EndnoteReference"/>
          <w:rFonts w:eastAsia="Segoe UI" w:cs="Arial"/>
        </w:rPr>
        <w:endnoteReference w:id="3"/>
      </w:r>
      <w:r>
        <w:rPr>
          <w:rFonts w:eastAsia="Segoe UI" w:cs="Arial"/>
        </w:rPr>
        <w:t xml:space="preserve"> but he died for his own sin and he did not have any sons. </w:t>
      </w:r>
      <w:r>
        <w:rPr>
          <w:rFonts w:eastAsia="Segoe UI" w:cs="Arial"/>
          <w:b/>
        </w:rPr>
        <w:t xml:space="preserve">4 </w:t>
      </w:r>
      <w:r>
        <w:rPr>
          <w:rFonts w:eastAsia="Segoe UI" w:cs="Arial"/>
        </w:rPr>
        <w:t xml:space="preserve">Why should the name of our father be lost from his family because he had no son? Give us a possession among our father’s brothers.” </w:t>
      </w:r>
      <w:r>
        <w:rPr>
          <w:rFonts w:eastAsia="Segoe UI" w:cs="Arial"/>
          <w:b/>
        </w:rPr>
        <w:t xml:space="preserve">5 </w:t>
      </w:r>
      <w:r>
        <w:rPr>
          <w:rFonts w:eastAsia="Segoe UI" w:cs="Arial"/>
        </w:rPr>
        <w:t>So Moses presented their case before Jehovah.</w:t>
      </w:r>
      <w:r w:rsidR="003D4645">
        <w:rPr>
          <w:rStyle w:val="EndnoteReference"/>
          <w:rFonts w:eastAsia="Segoe UI" w:cs="Arial"/>
        </w:rPr>
        <w:endnoteReference w:id="4"/>
      </w:r>
    </w:p>
    <w:p w:rsidR="00660E55" w:rsidRDefault="00660E55" w:rsidP="00660E55">
      <w:pPr>
        <w:rPr>
          <w:rFonts w:eastAsia="Segoe UI" w:cs="Arial"/>
        </w:rPr>
      </w:pPr>
      <w:r>
        <w:rPr>
          <w:rFonts w:eastAsia="Segoe UI" w:cs="Arial"/>
          <w:b/>
        </w:rPr>
        <w:t xml:space="preserve">6 </w:t>
      </w:r>
      <w:r>
        <w:rPr>
          <w:rFonts w:eastAsia="Segoe UI" w:cs="Arial"/>
        </w:rPr>
        <w:t xml:space="preserve">Jehovah then said this to Moses: </w:t>
      </w:r>
      <w:r>
        <w:rPr>
          <w:rFonts w:eastAsia="Segoe UI" w:cs="Arial"/>
          <w:b/>
        </w:rPr>
        <w:t xml:space="preserve">7 </w:t>
      </w:r>
      <w:r>
        <w:rPr>
          <w:rFonts w:eastAsia="Segoe UI" w:cs="Arial"/>
        </w:rPr>
        <w:t>“The daughters of Ze·lo′phe·had are correct. You should by all means give them the possession as an inheritance among their father’s brothers and transfer their father’s inheritance to them.</w:t>
      </w:r>
      <w:r w:rsidR="003D4645">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8 </w:t>
      </w:r>
      <w:r>
        <w:rPr>
          <w:rFonts w:eastAsia="Segoe UI" w:cs="Arial"/>
        </w:rPr>
        <w:t xml:space="preserve">And tell the Israelites, ‘If a man dies without having a son, you must then cause his inheritance to pass to his daughter. </w:t>
      </w:r>
      <w:r>
        <w:rPr>
          <w:rFonts w:eastAsia="Segoe UI" w:cs="Arial"/>
          <w:b/>
        </w:rPr>
        <w:t xml:space="preserve">9 </w:t>
      </w:r>
      <w:r>
        <w:rPr>
          <w:rFonts w:eastAsia="Segoe UI" w:cs="Arial"/>
        </w:rPr>
        <w:t xml:space="preserve">And if he has no daughter, you will give his inheritance to his brothers. </w:t>
      </w:r>
      <w:r>
        <w:rPr>
          <w:rFonts w:eastAsia="Segoe UI" w:cs="Arial"/>
          <w:b/>
        </w:rPr>
        <w:t xml:space="preserve">10 </w:t>
      </w:r>
      <w:r>
        <w:rPr>
          <w:rFonts w:eastAsia="Segoe UI" w:cs="Arial"/>
        </w:rPr>
        <w:t xml:space="preserve">And if he has no brothers, you will give his inheritance to his father’s brothers. </w:t>
      </w:r>
      <w:r>
        <w:rPr>
          <w:rFonts w:eastAsia="Segoe UI" w:cs="Arial"/>
          <w:b/>
        </w:rPr>
        <w:t xml:space="preserve">11 </w:t>
      </w:r>
      <w:r>
        <w:rPr>
          <w:rFonts w:eastAsia="Segoe UI" w:cs="Arial"/>
        </w:rPr>
        <w:t>And if his father has no brothers, you will give his inheritance to the closest blood relative in his family, and he will take possession of it. This will serve as a statute by judicial decision for the Israelites, just as Jehovah has commanded Moses.’”</w:t>
      </w:r>
    </w:p>
    <w:p w:rsidR="00660E55" w:rsidRDefault="00660E55" w:rsidP="00660E55">
      <w:pPr>
        <w:rPr>
          <w:rFonts w:ascii="MEPS Bookman WTS" w:eastAsia="Segoe UI" w:hAnsi="MEPS Bookman WTS" w:cs="Segoe UI"/>
        </w:rPr>
      </w:pPr>
      <w:r>
        <w:rPr>
          <w:rFonts w:eastAsia="Segoe UI" w:cs="Arial"/>
          <w:b/>
        </w:rPr>
        <w:t xml:space="preserve">12 </w:t>
      </w:r>
      <w:r>
        <w:rPr>
          <w:rFonts w:eastAsia="Segoe UI" w:cs="Arial"/>
        </w:rPr>
        <w:t>Then Jehovah said to Moses: “Go up into this mountain of Ab′a·rim,</w:t>
      </w:r>
      <w:r w:rsidR="003D4645">
        <w:rPr>
          <w:rStyle w:val="EndnoteReference"/>
          <w:rFonts w:eastAsia="Segoe UI" w:cs="Arial"/>
        </w:rPr>
        <w:endnoteReference w:id="6"/>
      </w:r>
      <w:r>
        <w:rPr>
          <w:rFonts w:eastAsia="Segoe UI" w:cs="Arial"/>
        </w:rPr>
        <w:t xml:space="preserve"> and view the land that I will give the Israelites.</w:t>
      </w:r>
      <w:r w:rsidR="003D4645">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13 </w:t>
      </w:r>
      <w:r>
        <w:rPr>
          <w:rFonts w:eastAsia="Segoe UI" w:cs="Arial"/>
        </w:rPr>
        <w:t>When you have seen it, you will also be gathered to your people,</w:t>
      </w:r>
      <w:r w:rsidR="003D4645">
        <w:rPr>
          <w:rStyle w:val="FootnoteReference"/>
          <w:rFonts w:eastAsia="Segoe UI" w:cs="Arial"/>
        </w:rPr>
        <w:footnoteReference w:id="1"/>
      </w:r>
      <w:r w:rsidR="003D4645">
        <w:rPr>
          <w:rStyle w:val="EndnoteReference"/>
          <w:rFonts w:eastAsia="Segoe UI" w:cs="Arial"/>
        </w:rPr>
        <w:endnoteReference w:id="8"/>
      </w:r>
      <w:r>
        <w:rPr>
          <w:rFonts w:eastAsia="Segoe UI" w:cs="Arial"/>
        </w:rPr>
        <w:t xml:space="preserve"> just as Aaron your brother was,</w:t>
      </w:r>
      <w:r w:rsidR="003D4645">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14 </w:t>
      </w:r>
      <w:r>
        <w:rPr>
          <w:rFonts w:eastAsia="Segoe UI" w:cs="Arial"/>
        </w:rPr>
        <w:t>because when the assembly was quarreling with me in the wilderness of Zin, you rebelled against my order to sanctify me before them by means of the waters.</w:t>
      </w:r>
      <w:r w:rsidR="003D4645">
        <w:rPr>
          <w:rStyle w:val="EndnoteReference"/>
          <w:rFonts w:eastAsia="Segoe UI" w:cs="Arial"/>
        </w:rPr>
        <w:endnoteReference w:id="10"/>
      </w:r>
      <w:r>
        <w:rPr>
          <w:rFonts w:eastAsia="Segoe UI" w:cs="Arial"/>
        </w:rPr>
        <w:t xml:space="preserve"> These are the waters of Mer′i·bah</w:t>
      </w:r>
      <w:r w:rsidR="003D4645">
        <w:rPr>
          <w:rStyle w:val="EndnoteReference"/>
          <w:rFonts w:eastAsia="Segoe UI" w:cs="Arial"/>
        </w:rPr>
        <w:endnoteReference w:id="11"/>
      </w:r>
      <w:r>
        <w:rPr>
          <w:rFonts w:eastAsia="Segoe UI" w:cs="Arial"/>
        </w:rPr>
        <w:t xml:space="preserve"> at Ka′desh</w:t>
      </w:r>
      <w:r w:rsidR="003D4645">
        <w:rPr>
          <w:rStyle w:val="EndnoteReference"/>
          <w:rFonts w:eastAsia="Segoe UI" w:cs="Arial"/>
        </w:rPr>
        <w:endnoteReference w:id="12"/>
      </w:r>
      <w:r>
        <w:rPr>
          <w:rFonts w:eastAsia="Segoe UI" w:cs="Arial"/>
        </w:rPr>
        <w:t xml:space="preserve"> in the wilderness of Zin.”</w:t>
      </w:r>
      <w:r w:rsidR="003D4645">
        <w:rPr>
          <w:rStyle w:val="EndnoteReference"/>
          <w:rFonts w:eastAsia="Segoe UI" w:cs="Arial"/>
        </w:rPr>
        <w:endnoteReference w:id="13"/>
      </w:r>
    </w:p>
    <w:p w:rsidR="00660E55" w:rsidRDefault="00660E55" w:rsidP="00660E55">
      <w:pPr>
        <w:rPr>
          <w:rFonts w:eastAsia="Segoe UI" w:cs="Arial"/>
        </w:rPr>
      </w:pPr>
      <w:r>
        <w:rPr>
          <w:rFonts w:eastAsia="Segoe UI" w:cs="Arial"/>
          <w:b/>
        </w:rPr>
        <w:t xml:space="preserve">15 </w:t>
      </w:r>
      <w:r>
        <w:rPr>
          <w:rFonts w:eastAsia="Segoe UI" w:cs="Arial"/>
        </w:rPr>
        <w:t xml:space="preserve">Then Moses said to Jehovah: </w:t>
      </w:r>
      <w:r>
        <w:rPr>
          <w:rFonts w:eastAsia="Segoe UI" w:cs="Arial"/>
          <w:b/>
        </w:rPr>
        <w:t xml:space="preserve">16 </w:t>
      </w:r>
      <w:r>
        <w:rPr>
          <w:rFonts w:eastAsia="Segoe UI" w:cs="Arial"/>
        </w:rPr>
        <w:t>“Let Jehovah, the God of the spirit of all people,</w:t>
      </w:r>
      <w:r w:rsidR="003D4645">
        <w:rPr>
          <w:rStyle w:val="FootnoteReference"/>
          <w:rFonts w:eastAsia="Segoe UI" w:cs="Arial"/>
        </w:rPr>
        <w:footnoteReference w:id="2"/>
      </w:r>
      <w:r>
        <w:rPr>
          <w:rFonts w:eastAsia="Segoe UI" w:cs="Arial"/>
        </w:rPr>
        <w:t xml:space="preserve"> appoint over the assembly a man </w:t>
      </w:r>
      <w:r>
        <w:rPr>
          <w:rFonts w:eastAsia="Segoe UI" w:cs="Arial"/>
          <w:b/>
        </w:rPr>
        <w:t xml:space="preserve">17 </w:t>
      </w:r>
      <w:r>
        <w:rPr>
          <w:rFonts w:eastAsia="Segoe UI" w:cs="Arial"/>
        </w:rPr>
        <w:t xml:space="preserve">who will go out and come in before them and who will lead them out and bring them in, so that Jehovah’s assembly may not become like sheep that have no shepherd.” </w:t>
      </w:r>
      <w:r>
        <w:rPr>
          <w:rFonts w:eastAsia="Segoe UI" w:cs="Arial"/>
          <w:b/>
        </w:rPr>
        <w:t xml:space="preserve">18 </w:t>
      </w:r>
      <w:r>
        <w:rPr>
          <w:rFonts w:eastAsia="Segoe UI" w:cs="Arial"/>
        </w:rPr>
        <w:t>So Jehovah said to Moses: “Take Joshua the son of Nun, a man in whom there is spirit, and lay your hand on him.</w:t>
      </w:r>
      <w:r w:rsidR="003D4645">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19 </w:t>
      </w:r>
      <w:r>
        <w:rPr>
          <w:rFonts w:eastAsia="Segoe UI" w:cs="Arial"/>
        </w:rPr>
        <w:t>Then stand him before El·e·a′zar the priest and before all the assembly, and you must commission him before their eyes.</w:t>
      </w:r>
      <w:r w:rsidR="003D4645">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20 </w:t>
      </w:r>
      <w:r>
        <w:rPr>
          <w:rFonts w:eastAsia="Segoe UI" w:cs="Arial"/>
        </w:rPr>
        <w:t>You are to confer some of your authority</w:t>
      </w:r>
      <w:r w:rsidR="003D4645">
        <w:rPr>
          <w:rStyle w:val="FootnoteReference"/>
          <w:rFonts w:eastAsia="Segoe UI" w:cs="Arial"/>
        </w:rPr>
        <w:footnoteReference w:id="3"/>
      </w:r>
      <w:r>
        <w:rPr>
          <w:rFonts w:eastAsia="Segoe UI" w:cs="Arial"/>
        </w:rPr>
        <w:t xml:space="preserve"> on him,</w:t>
      </w:r>
      <w:r w:rsidR="003D4645">
        <w:rPr>
          <w:rStyle w:val="EndnoteReference"/>
          <w:rFonts w:eastAsia="Segoe UI" w:cs="Arial"/>
        </w:rPr>
        <w:endnoteReference w:id="16"/>
      </w:r>
      <w:r>
        <w:rPr>
          <w:rFonts w:eastAsia="Segoe UI" w:cs="Arial"/>
        </w:rPr>
        <w:t xml:space="preserve"> so that all the assembly of the Israelites may listen to him.</w:t>
      </w:r>
      <w:r w:rsidR="003D4645">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21 </w:t>
      </w:r>
      <w:r>
        <w:rPr>
          <w:rFonts w:eastAsia="Segoe UI" w:cs="Arial"/>
        </w:rPr>
        <w:t>He will stand before El·e·a′zar the priest, who will inquire in his behalf by the judgment of the U′rim</w:t>
      </w:r>
      <w:r w:rsidR="003D4645">
        <w:rPr>
          <w:rStyle w:val="EndnoteReference"/>
          <w:rFonts w:eastAsia="Segoe UI" w:cs="Arial"/>
        </w:rPr>
        <w:endnoteReference w:id="18"/>
      </w:r>
      <w:r>
        <w:rPr>
          <w:rFonts w:eastAsia="Segoe UI" w:cs="Arial"/>
        </w:rPr>
        <w:t xml:space="preserve"> before Jehovah. At his order they will go out and at his order they will come in, he and all the Israelites with him and all the assembly.”</w:t>
      </w:r>
    </w:p>
    <w:p w:rsidR="00660E55" w:rsidRDefault="00660E55" w:rsidP="00660E55">
      <w:pPr>
        <w:rPr>
          <w:rFonts w:ascii="MEPS Bookman WTS" w:eastAsia="Segoe UI" w:hAnsi="MEPS Bookman WTS" w:cs="Segoe UI"/>
        </w:rPr>
      </w:pPr>
      <w:r>
        <w:rPr>
          <w:rFonts w:eastAsia="Segoe UI" w:cs="Arial"/>
          <w:b/>
        </w:rPr>
        <w:t xml:space="preserve">22 </w:t>
      </w:r>
      <w:r>
        <w:rPr>
          <w:rFonts w:eastAsia="Segoe UI" w:cs="Arial"/>
        </w:rPr>
        <w:t xml:space="preserve">So Moses did just as Jehovah had commanded him. He took Joshua and stood him before El·e·a′zar the priest and before all the assembly, </w:t>
      </w:r>
      <w:r>
        <w:rPr>
          <w:rFonts w:eastAsia="Segoe UI" w:cs="Arial"/>
          <w:b/>
        </w:rPr>
        <w:t xml:space="preserve">23 </w:t>
      </w:r>
      <w:r>
        <w:rPr>
          <w:rFonts w:eastAsia="Segoe UI" w:cs="Arial"/>
        </w:rPr>
        <w:t>and he laid his hands on him and commissioned him,</w:t>
      </w:r>
      <w:r w:rsidR="003D4645">
        <w:rPr>
          <w:rStyle w:val="EndnoteReference"/>
          <w:rFonts w:eastAsia="Segoe UI" w:cs="Arial"/>
        </w:rPr>
        <w:endnoteReference w:id="19"/>
      </w:r>
      <w:r>
        <w:rPr>
          <w:rFonts w:eastAsia="Segoe UI" w:cs="Arial"/>
        </w:rPr>
        <w:t xml:space="preserve"> just as Jehovah had spoken through Moses.</w:t>
      </w:r>
      <w:r w:rsidR="003D4645">
        <w:rPr>
          <w:rStyle w:val="EndnoteReference"/>
          <w:rFonts w:eastAsia="Segoe UI" w:cs="Arial"/>
        </w:rPr>
        <w:endnoteReference w:id="20"/>
      </w:r>
    </w:p>
    <w:p w:rsidR="00762BCB" w:rsidRPr="00660E55" w:rsidRDefault="00762BCB" w:rsidP="00660E55"/>
    <w:sectPr w:rsidR="00762BCB" w:rsidRPr="00660E5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25BD" w:rsidRDefault="00EF25BD">
      <w:r>
        <w:separator/>
      </w:r>
    </w:p>
  </w:endnote>
  <w:endnote w:type="continuationSeparator" w:id="0">
    <w:p w:rsidR="00EF25BD" w:rsidRDefault="00EF25BD">
      <w:r>
        <w:continuationSeparator/>
      </w:r>
    </w:p>
  </w:endnote>
  <w:endnote w:id="1">
    <w:p w:rsidR="003D4645" w:rsidRDefault="003D4645">
      <w:pPr>
        <w:pStyle w:val="EndnoteText"/>
      </w:pPr>
      <w:r>
        <w:rPr>
          <w:rStyle w:val="EndnoteReference"/>
        </w:rPr>
        <w:endnoteRef/>
      </w:r>
      <w:r>
        <w:t xml:space="preserve"> Numbers 26:33</w:t>
      </w:r>
    </w:p>
  </w:endnote>
  <w:endnote w:id="2">
    <w:p w:rsidR="003D4645" w:rsidRDefault="003D4645">
      <w:pPr>
        <w:pStyle w:val="EndnoteText"/>
      </w:pPr>
      <w:r>
        <w:rPr>
          <w:rStyle w:val="EndnoteReference"/>
        </w:rPr>
        <w:endnoteRef/>
      </w:r>
      <w:r>
        <w:t xml:space="preserve"> Exodus 18:25, 26</w:t>
      </w:r>
    </w:p>
  </w:endnote>
  <w:endnote w:id="3">
    <w:p w:rsidR="003D4645" w:rsidRDefault="003D4645">
      <w:pPr>
        <w:pStyle w:val="EndnoteText"/>
      </w:pPr>
      <w:r>
        <w:rPr>
          <w:rStyle w:val="EndnoteReference"/>
        </w:rPr>
        <w:endnoteRef/>
      </w:r>
      <w:r>
        <w:t xml:space="preserve"> Numbers 14:35; 16:1, 2, 19, 35</w:t>
      </w:r>
    </w:p>
  </w:endnote>
  <w:endnote w:id="4">
    <w:p w:rsidR="003D4645" w:rsidRDefault="003D4645">
      <w:pPr>
        <w:pStyle w:val="EndnoteText"/>
      </w:pPr>
      <w:r>
        <w:rPr>
          <w:rStyle w:val="EndnoteReference"/>
        </w:rPr>
        <w:endnoteRef/>
      </w:r>
      <w:r>
        <w:t xml:space="preserve"> Exodus 18:15, 16; 33:11; Leviticus 24:11, 12</w:t>
      </w:r>
    </w:p>
  </w:endnote>
  <w:endnote w:id="5">
    <w:p w:rsidR="003D4645" w:rsidRDefault="003D4645">
      <w:pPr>
        <w:pStyle w:val="EndnoteText"/>
      </w:pPr>
      <w:r>
        <w:rPr>
          <w:rStyle w:val="EndnoteReference"/>
        </w:rPr>
        <w:endnoteRef/>
      </w:r>
      <w:r>
        <w:t xml:space="preserve"> Numbers 36:2; Joshua 17:3, 4</w:t>
      </w:r>
    </w:p>
  </w:endnote>
  <w:endnote w:id="6">
    <w:p w:rsidR="003D4645" w:rsidRDefault="003D4645">
      <w:pPr>
        <w:pStyle w:val="EndnoteText"/>
      </w:pPr>
      <w:r>
        <w:rPr>
          <w:rStyle w:val="EndnoteReference"/>
        </w:rPr>
        <w:endnoteRef/>
      </w:r>
      <w:r>
        <w:t xml:space="preserve"> Numbers 33:47; Deuteronomy 32:48, 49</w:t>
      </w:r>
    </w:p>
  </w:endnote>
  <w:endnote w:id="7">
    <w:p w:rsidR="003D4645" w:rsidRDefault="003D4645">
      <w:pPr>
        <w:pStyle w:val="EndnoteText"/>
      </w:pPr>
      <w:r>
        <w:rPr>
          <w:rStyle w:val="EndnoteReference"/>
        </w:rPr>
        <w:endnoteRef/>
      </w:r>
      <w:r>
        <w:t xml:space="preserve"> Genesis 13:14, 15; Deuteronomy 3:27; 32:52; 34:1</w:t>
      </w:r>
    </w:p>
  </w:endnote>
  <w:endnote w:id="8">
    <w:p w:rsidR="003D4645" w:rsidRDefault="003D4645">
      <w:pPr>
        <w:pStyle w:val="EndnoteText"/>
      </w:pPr>
      <w:r>
        <w:rPr>
          <w:rStyle w:val="EndnoteReference"/>
        </w:rPr>
        <w:endnoteRef/>
      </w:r>
      <w:r>
        <w:t xml:space="preserve"> Numbers 31:2; Deuteronomy 34:7</w:t>
      </w:r>
    </w:p>
  </w:endnote>
  <w:endnote w:id="9">
    <w:p w:rsidR="003D4645" w:rsidRDefault="003D4645">
      <w:pPr>
        <w:pStyle w:val="EndnoteText"/>
      </w:pPr>
      <w:r>
        <w:rPr>
          <w:rStyle w:val="EndnoteReference"/>
        </w:rPr>
        <w:endnoteRef/>
      </w:r>
      <w:r>
        <w:t xml:space="preserve"> Numbers 20:24, 28; 33:38; Deuteronomy 10:6; 32:50</w:t>
      </w:r>
    </w:p>
  </w:endnote>
  <w:endnote w:id="10">
    <w:p w:rsidR="003D4645" w:rsidRDefault="003D4645">
      <w:pPr>
        <w:pStyle w:val="EndnoteText"/>
      </w:pPr>
      <w:r>
        <w:rPr>
          <w:rStyle w:val="EndnoteReference"/>
        </w:rPr>
        <w:endnoteRef/>
      </w:r>
      <w:r>
        <w:t xml:space="preserve"> Numbers 20:10, 12; Deuteronomy 1:37</w:t>
      </w:r>
    </w:p>
  </w:endnote>
  <w:endnote w:id="11">
    <w:p w:rsidR="003D4645" w:rsidRDefault="003D4645">
      <w:pPr>
        <w:pStyle w:val="EndnoteText"/>
      </w:pPr>
      <w:r>
        <w:rPr>
          <w:rStyle w:val="EndnoteReference"/>
        </w:rPr>
        <w:endnoteRef/>
      </w:r>
      <w:r>
        <w:t xml:space="preserve"> Psalms 106:32, 33</w:t>
      </w:r>
    </w:p>
  </w:endnote>
  <w:endnote w:id="12">
    <w:p w:rsidR="003D4645" w:rsidRDefault="003D4645">
      <w:pPr>
        <w:pStyle w:val="EndnoteText"/>
      </w:pPr>
      <w:r>
        <w:rPr>
          <w:rStyle w:val="EndnoteReference"/>
        </w:rPr>
        <w:endnoteRef/>
      </w:r>
      <w:r>
        <w:t xml:space="preserve"> Deuteronomy 1:2</w:t>
      </w:r>
    </w:p>
  </w:endnote>
  <w:endnote w:id="13">
    <w:p w:rsidR="003D4645" w:rsidRDefault="003D4645">
      <w:pPr>
        <w:pStyle w:val="EndnoteText"/>
      </w:pPr>
      <w:r>
        <w:rPr>
          <w:rStyle w:val="EndnoteReference"/>
        </w:rPr>
        <w:endnoteRef/>
      </w:r>
      <w:r>
        <w:t xml:space="preserve"> Joshua 15:1</w:t>
      </w:r>
    </w:p>
  </w:endnote>
  <w:endnote w:id="14">
    <w:p w:rsidR="003D4645" w:rsidRDefault="003D4645">
      <w:pPr>
        <w:pStyle w:val="EndnoteText"/>
      </w:pPr>
      <w:r>
        <w:rPr>
          <w:rStyle w:val="EndnoteReference"/>
        </w:rPr>
        <w:endnoteRef/>
      </w:r>
      <w:r>
        <w:t xml:space="preserve"> Deuteronomy 34:9; Acts 6:5, 6</w:t>
      </w:r>
    </w:p>
  </w:endnote>
  <w:endnote w:id="15">
    <w:p w:rsidR="003D4645" w:rsidRDefault="003D4645">
      <w:pPr>
        <w:pStyle w:val="EndnoteText"/>
      </w:pPr>
      <w:r>
        <w:rPr>
          <w:rStyle w:val="EndnoteReference"/>
        </w:rPr>
        <w:endnoteRef/>
      </w:r>
      <w:r>
        <w:t xml:space="preserve"> Deuteronomy 31:7</w:t>
      </w:r>
    </w:p>
  </w:endnote>
  <w:endnote w:id="16">
    <w:p w:rsidR="003D4645" w:rsidRDefault="003D4645">
      <w:pPr>
        <w:pStyle w:val="EndnoteText"/>
      </w:pPr>
      <w:r>
        <w:rPr>
          <w:rStyle w:val="EndnoteReference"/>
        </w:rPr>
        <w:endnoteRef/>
      </w:r>
      <w:r>
        <w:t xml:space="preserve"> Deuteronomy 1:38; 31:3; 34:10</w:t>
      </w:r>
    </w:p>
  </w:endnote>
  <w:endnote w:id="17">
    <w:p w:rsidR="003D4645" w:rsidRDefault="003D4645">
      <w:pPr>
        <w:pStyle w:val="EndnoteText"/>
      </w:pPr>
      <w:r>
        <w:rPr>
          <w:rStyle w:val="EndnoteReference"/>
        </w:rPr>
        <w:endnoteRef/>
      </w:r>
      <w:r>
        <w:t xml:space="preserve"> Joshua 1:17</w:t>
      </w:r>
    </w:p>
  </w:endnote>
  <w:endnote w:id="18">
    <w:p w:rsidR="003D4645" w:rsidRDefault="003D4645">
      <w:pPr>
        <w:pStyle w:val="EndnoteText"/>
      </w:pPr>
      <w:r>
        <w:rPr>
          <w:rStyle w:val="EndnoteReference"/>
        </w:rPr>
        <w:endnoteRef/>
      </w:r>
      <w:r>
        <w:t xml:space="preserve"> Exodus 28:30; 1 Samuel 23:9; 28:6; Nehemiah 7:65</w:t>
      </w:r>
    </w:p>
  </w:endnote>
  <w:endnote w:id="19">
    <w:p w:rsidR="003D4645" w:rsidRDefault="003D4645">
      <w:pPr>
        <w:pStyle w:val="EndnoteText"/>
      </w:pPr>
      <w:r>
        <w:rPr>
          <w:rStyle w:val="EndnoteReference"/>
        </w:rPr>
        <w:endnoteRef/>
      </w:r>
      <w:r>
        <w:t xml:space="preserve"> Numbers 27:18</w:t>
      </w:r>
    </w:p>
  </w:endnote>
  <w:endnote w:id="20">
    <w:p w:rsidR="003D4645" w:rsidRDefault="003D4645">
      <w:pPr>
        <w:pStyle w:val="EndnoteText"/>
      </w:pPr>
      <w:r>
        <w:rPr>
          <w:rStyle w:val="EndnoteReference"/>
        </w:rPr>
        <w:endnoteRef/>
      </w:r>
      <w:r>
        <w:t xml:space="preserve"> Deuteronomy 3:28; 31:14, 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25BD" w:rsidRDefault="00EF25BD">
      <w:r>
        <w:separator/>
      </w:r>
    </w:p>
  </w:footnote>
  <w:footnote w:type="continuationSeparator" w:id="0">
    <w:p w:rsidR="00EF25BD" w:rsidRDefault="00EF25BD">
      <w:r>
        <w:continuationSeparator/>
      </w:r>
    </w:p>
  </w:footnote>
  <w:footnote w:id="1">
    <w:p w:rsidR="003D4645" w:rsidRDefault="003D4645">
      <w:pPr>
        <w:pStyle w:val="FootnoteText"/>
      </w:pPr>
      <w:r>
        <w:rPr>
          <w:rStyle w:val="FootnoteReference"/>
        </w:rPr>
        <w:footnoteRef/>
      </w:r>
      <w:r>
        <w:t xml:space="preserve"> </w:t>
      </w:r>
      <w:r>
        <w:t>This is a poetic expression for death.</w:t>
      </w:r>
    </w:p>
  </w:footnote>
  <w:footnote w:id="2">
    <w:p w:rsidR="003D4645" w:rsidRDefault="003D4645">
      <w:pPr>
        <w:pStyle w:val="FootnoteText"/>
      </w:pPr>
      <w:r>
        <w:rPr>
          <w:rStyle w:val="FootnoteReference"/>
        </w:rPr>
        <w:footnoteRef/>
      </w:r>
      <w:r>
        <w:t xml:space="preserve"> </w:t>
      </w:r>
      <w:r>
        <w:t>Lit., “the spirits of all flesh.”</w:t>
      </w:r>
    </w:p>
  </w:footnote>
  <w:footnote w:id="3">
    <w:p w:rsidR="003D4645" w:rsidRDefault="003D4645">
      <w:pPr>
        <w:pStyle w:val="FootnoteText"/>
      </w:pPr>
      <w:r>
        <w:rPr>
          <w:rStyle w:val="FootnoteReference"/>
        </w:rPr>
        <w:footnoteRef/>
      </w:r>
      <w:r>
        <w:t xml:space="preserve"> </w:t>
      </w:r>
      <w:r>
        <w:t>Or “dignity.”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D464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D4645">
        <w:t>Numbers Chapter 27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D4645">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D4645">
      <w:rPr>
        <w:noProof/>
        <w:snapToGrid w:val="0"/>
      </w:rPr>
      <w:t>Numbers 27.Advisor.docx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D4645">
        <w:t>Numbers Chapter 27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D4645">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D4645">
      <w:rPr>
        <w:noProof/>
        <w:snapToGrid w:val="0"/>
      </w:rPr>
      <w:t>Numbers 27.Advisor.docx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D464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D4645">
      <w:t>&lt;not set&gt;</w:t>
    </w:r>
    <w:r>
      <w:fldChar w:fldCharType="end"/>
    </w:r>
    <w:r>
      <w:tab/>
      <w:t xml:space="preserve">Checker: </w:t>
    </w:r>
    <w:r>
      <w:fldChar w:fldCharType="begin"/>
    </w:r>
    <w:r>
      <w:instrText xml:space="preserve"> DOCPROPERTY "_RoleChecker" </w:instrText>
    </w:r>
    <w:r>
      <w:fldChar w:fldCharType="separate"/>
    </w:r>
    <w:r w:rsidR="003D464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D464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5BD"/>
    <w:rsid w:val="00245EDD"/>
    <w:rsid w:val="0026230D"/>
    <w:rsid w:val="002B524D"/>
    <w:rsid w:val="002C00A8"/>
    <w:rsid w:val="00310508"/>
    <w:rsid w:val="003B380B"/>
    <w:rsid w:val="003D4645"/>
    <w:rsid w:val="004500A2"/>
    <w:rsid w:val="004B7393"/>
    <w:rsid w:val="004C5EB7"/>
    <w:rsid w:val="005D4494"/>
    <w:rsid w:val="005F29B7"/>
    <w:rsid w:val="00660E55"/>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F25BD"/>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74c53dce065d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D4645"/>
    <w:pPr>
      <w:spacing w:line="240" w:lineRule="auto"/>
    </w:pPr>
    <w:rPr>
      <w:sz w:val="20"/>
      <w:szCs w:val="20"/>
    </w:rPr>
  </w:style>
  <w:style w:type="character" w:customStyle="1" w:styleId="FootnoteTextChar">
    <w:name w:val="Footnote Text Char"/>
    <w:basedOn w:val="DefaultParagraphFont"/>
    <w:link w:val="FootnoteText"/>
    <w:rsid w:val="003D4645"/>
    <w:rPr>
      <w:rFonts w:ascii="Arial" w:eastAsia="Times New Roman" w:hAnsi="Arial" w:cs="Latha"/>
      <w:lang w:val="en-US" w:eastAsia="en-US" w:bidi="ta-IN"/>
    </w:rPr>
  </w:style>
  <w:style w:type="character" w:styleId="FootnoteReference">
    <w:name w:val="footnote reference"/>
    <w:basedOn w:val="DefaultParagraphFont"/>
    <w:rsid w:val="003D4645"/>
    <w:rPr>
      <w:vertAlign w:val="superscript"/>
    </w:rPr>
  </w:style>
  <w:style w:type="paragraph" w:styleId="EndnoteText">
    <w:name w:val="endnote text"/>
    <w:basedOn w:val="Normal"/>
    <w:link w:val="EndnoteTextChar"/>
    <w:rsid w:val="003D4645"/>
    <w:pPr>
      <w:spacing w:line="240" w:lineRule="auto"/>
    </w:pPr>
    <w:rPr>
      <w:sz w:val="20"/>
      <w:szCs w:val="20"/>
    </w:rPr>
  </w:style>
  <w:style w:type="character" w:customStyle="1" w:styleId="EndnoteTextChar">
    <w:name w:val="Endnote Text Char"/>
    <w:basedOn w:val="DefaultParagraphFont"/>
    <w:link w:val="EndnoteText"/>
    <w:rsid w:val="003D4645"/>
    <w:rPr>
      <w:rFonts w:ascii="Arial" w:eastAsia="Times New Roman" w:hAnsi="Arial" w:cs="Latha"/>
      <w:lang w:val="en-US" w:eastAsia="en-US" w:bidi="ta-IN"/>
    </w:rPr>
  </w:style>
  <w:style w:type="character" w:styleId="EndnoteReference">
    <w:name w:val="endnote reference"/>
    <w:basedOn w:val="DefaultParagraphFont"/>
    <w:rsid w:val="003D464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D4645"/>
    <w:pPr>
      <w:spacing w:line="240" w:lineRule="auto"/>
    </w:pPr>
    <w:rPr>
      <w:sz w:val="20"/>
      <w:szCs w:val="20"/>
    </w:rPr>
  </w:style>
  <w:style w:type="character" w:customStyle="1" w:styleId="FootnoteTextChar">
    <w:name w:val="Footnote Text Char"/>
    <w:basedOn w:val="DefaultParagraphFont"/>
    <w:link w:val="FootnoteText"/>
    <w:rsid w:val="003D4645"/>
    <w:rPr>
      <w:rFonts w:ascii="Arial" w:eastAsia="Times New Roman" w:hAnsi="Arial" w:cs="Latha"/>
      <w:lang w:val="en-US" w:eastAsia="en-US" w:bidi="ta-IN"/>
    </w:rPr>
  </w:style>
  <w:style w:type="character" w:styleId="FootnoteReference">
    <w:name w:val="footnote reference"/>
    <w:basedOn w:val="DefaultParagraphFont"/>
    <w:rsid w:val="003D4645"/>
    <w:rPr>
      <w:vertAlign w:val="superscript"/>
    </w:rPr>
  </w:style>
  <w:style w:type="paragraph" w:styleId="EndnoteText">
    <w:name w:val="endnote text"/>
    <w:basedOn w:val="Normal"/>
    <w:link w:val="EndnoteTextChar"/>
    <w:rsid w:val="003D4645"/>
    <w:pPr>
      <w:spacing w:line="240" w:lineRule="auto"/>
    </w:pPr>
    <w:rPr>
      <w:sz w:val="20"/>
      <w:szCs w:val="20"/>
    </w:rPr>
  </w:style>
  <w:style w:type="character" w:customStyle="1" w:styleId="EndnoteTextChar">
    <w:name w:val="Endnote Text Char"/>
    <w:basedOn w:val="DefaultParagraphFont"/>
    <w:link w:val="EndnoteText"/>
    <w:rsid w:val="003D4645"/>
    <w:rPr>
      <w:rFonts w:ascii="Arial" w:eastAsia="Times New Roman" w:hAnsi="Arial" w:cs="Latha"/>
      <w:lang w:val="en-US" w:eastAsia="en-US" w:bidi="ta-IN"/>
    </w:rPr>
  </w:style>
  <w:style w:type="character" w:styleId="EndnoteReference">
    <w:name w:val="endnote reference"/>
    <w:basedOn w:val="DefaultParagraphFont"/>
    <w:rsid w:val="003D46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74c53dce065d49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578</ap:Words>
  <ap:Characters>2559</ap:Characters>
  <ap:Application>Microsoft Office Word</ap:Application>
  <ap:DocSecurity>0</ap:DocSecurity>
  <ap:Lines>41</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3131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27</dc:title>
  <dc:subject/>
  <dc:creator>David Waterson</dc:creator>
  <cp:keywords/>
  <dc:description/>
  <cp:lastModifiedBy>David Waterson</cp:lastModifiedBy>
  <cp:revision>3</cp:revision>
  <dcterms:created xsi:type="dcterms:W3CDTF">2019-08-04T14:20:00Z</dcterms:created>
  <dcterms:modified xsi:type="dcterms:W3CDTF">2019-08-04T14:20:00Z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27.docx</vt:lpwstr>
  </property>
  <property fmtid="{D5CDD505-2E9C-101B-9397-08002B2CF9AE}" pid="9" name="_TranslationDocumentId">
    <vt:i4>19474</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4027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27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