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2FB" w:rsidRDefault="007772FB" w:rsidP="007772FB">
      <w:pPr>
        <w:rPr>
          <w:rFonts w:eastAsia="Segoe UI" w:cs="Arial"/>
        </w:rPr>
      </w:pPr>
      <w:bookmarkStart w:id="0" w:name="_GoBack"/>
      <w:bookmarkEnd w:id="0"/>
      <w:r>
        <w:rPr>
          <w:rFonts w:eastAsia="Segoe UI" w:cs="Arial"/>
          <w:b/>
        </w:rPr>
        <w:t xml:space="preserve">35:1 </w:t>
      </w:r>
      <w:r>
        <w:rPr>
          <w:rFonts w:eastAsia="Segoe UI" w:cs="Arial"/>
        </w:rPr>
        <w:t>Jehovah went on to speak to Moses on the desert plains of Mo′ab by the Jordan</w:t>
      </w:r>
      <w:r w:rsidR="00EA6890">
        <w:rPr>
          <w:rStyle w:val="EndnoteReference"/>
          <w:rFonts w:eastAsia="Segoe UI" w:cs="Arial"/>
        </w:rPr>
        <w:endnoteReference w:id="1"/>
      </w:r>
      <w:r>
        <w:rPr>
          <w:rFonts w:eastAsia="Segoe UI" w:cs="Arial"/>
        </w:rPr>
        <w:t xml:space="preserve"> at Jer′i·cho, saying: </w:t>
      </w:r>
      <w:r>
        <w:rPr>
          <w:rFonts w:eastAsia="Segoe UI" w:cs="Arial"/>
          <w:b/>
        </w:rPr>
        <w:t xml:space="preserve">2 </w:t>
      </w:r>
      <w:r>
        <w:rPr>
          <w:rFonts w:eastAsia="Segoe UI" w:cs="Arial"/>
        </w:rPr>
        <w:t>“Instruct the Israelites that they are to give the Levites cities to inhabit out of the inheritance they will possess,</w:t>
      </w:r>
      <w:r w:rsidR="00EA6890">
        <w:rPr>
          <w:rStyle w:val="EndnoteReference"/>
          <w:rFonts w:eastAsia="Segoe UI" w:cs="Arial"/>
        </w:rPr>
        <w:endnoteReference w:id="2"/>
      </w:r>
      <w:r>
        <w:rPr>
          <w:rFonts w:eastAsia="Segoe UI" w:cs="Arial"/>
        </w:rPr>
        <w:t xml:space="preserve"> and they should give the Levites the pastures around the cities.</w:t>
      </w:r>
      <w:r w:rsidR="00EA6890">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 xml:space="preserve">They will inhabit the cities, and the pastures will be for their livestock, their goods, and all their other animals. </w:t>
      </w:r>
      <w:r>
        <w:rPr>
          <w:rFonts w:eastAsia="Segoe UI" w:cs="Arial"/>
          <w:b/>
        </w:rPr>
        <w:t xml:space="preserve">4 </w:t>
      </w:r>
      <w:r>
        <w:rPr>
          <w:rFonts w:eastAsia="Segoe UI" w:cs="Arial"/>
        </w:rPr>
        <w:t>The pastures of the cities that you will give the Levites will extend for 1,000 cubits</w:t>
      </w:r>
      <w:r w:rsidR="00EA6890">
        <w:rPr>
          <w:rStyle w:val="FootnoteReference"/>
          <w:rFonts w:eastAsia="Segoe UI" w:cs="Arial"/>
        </w:rPr>
        <w:footnoteReference w:id="1"/>
      </w:r>
      <w:r>
        <w:rPr>
          <w:rFonts w:eastAsia="Segoe UI" w:cs="Arial"/>
        </w:rPr>
        <w:t xml:space="preserve"> from the wall all around the city. </w:t>
      </w:r>
      <w:r>
        <w:rPr>
          <w:rFonts w:eastAsia="Segoe UI" w:cs="Arial"/>
          <w:b/>
        </w:rPr>
        <w:t xml:space="preserve">5 </w:t>
      </w:r>
      <w:r>
        <w:rPr>
          <w:rFonts w:eastAsia="Segoe UI" w:cs="Arial"/>
        </w:rPr>
        <w:t>You should measure outside the city 2,000 cubits on the east side, 2,000 cubits on the south side, 2,000 cubits on the west side, and 2,000 cubits on the north side, with the city in the middle. These will be the pastures of their cities.</w:t>
      </w:r>
    </w:p>
    <w:p w:rsidR="007772FB" w:rsidRDefault="007772FB" w:rsidP="007772FB">
      <w:pPr>
        <w:rPr>
          <w:rFonts w:eastAsia="Segoe UI" w:cs="Arial"/>
        </w:rPr>
      </w:pPr>
      <w:r>
        <w:rPr>
          <w:rFonts w:eastAsia="Segoe UI" w:cs="Arial"/>
          <w:b/>
        </w:rPr>
        <w:t xml:space="preserve">6 </w:t>
      </w:r>
      <w:r>
        <w:rPr>
          <w:rFonts w:eastAsia="Segoe UI" w:cs="Arial"/>
        </w:rPr>
        <w:t>“The cities that you will give to the Levites will be 6 cities of refuge,</w:t>
      </w:r>
      <w:r w:rsidR="00EA6890">
        <w:rPr>
          <w:rStyle w:val="EndnoteReference"/>
          <w:rFonts w:eastAsia="Segoe UI" w:cs="Arial"/>
        </w:rPr>
        <w:endnoteReference w:id="4"/>
      </w:r>
      <w:r>
        <w:rPr>
          <w:rFonts w:eastAsia="Segoe UI" w:cs="Arial"/>
        </w:rPr>
        <w:t xml:space="preserve"> which you will give for the manslayer to flee to,</w:t>
      </w:r>
      <w:r w:rsidR="00EA6890">
        <w:rPr>
          <w:rStyle w:val="EndnoteReference"/>
          <w:rFonts w:eastAsia="Segoe UI" w:cs="Arial"/>
        </w:rPr>
        <w:endnoteReference w:id="5"/>
      </w:r>
      <w:r>
        <w:rPr>
          <w:rFonts w:eastAsia="Segoe UI" w:cs="Arial"/>
        </w:rPr>
        <w:t xml:space="preserve"> as well as 42 other cities. </w:t>
      </w:r>
      <w:r>
        <w:rPr>
          <w:rFonts w:eastAsia="Segoe UI" w:cs="Arial"/>
          <w:b/>
        </w:rPr>
        <w:t xml:space="preserve">7 </w:t>
      </w:r>
      <w:r>
        <w:rPr>
          <w:rFonts w:eastAsia="Segoe UI" w:cs="Arial"/>
        </w:rPr>
        <w:t>You are to give to the Levites a total of 48 cities, together with their pastures.</w:t>
      </w:r>
      <w:r w:rsidR="00EA6890">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8 </w:t>
      </w:r>
      <w:r>
        <w:rPr>
          <w:rFonts w:eastAsia="Segoe UI" w:cs="Arial"/>
        </w:rPr>
        <w:t>The cities you give them will be from the possession of the Israelites.</w:t>
      </w:r>
      <w:r w:rsidR="00EA6890">
        <w:rPr>
          <w:rStyle w:val="EndnoteReference"/>
          <w:rFonts w:eastAsia="Segoe UI" w:cs="Arial"/>
        </w:rPr>
        <w:endnoteReference w:id="7"/>
      </w:r>
      <w:r>
        <w:rPr>
          <w:rFonts w:eastAsia="Segoe UI" w:cs="Arial"/>
        </w:rPr>
        <w:t xml:space="preserve"> From the larger group you will take many, and from the smaller group you will take few.</w:t>
      </w:r>
      <w:r w:rsidR="00EA6890">
        <w:rPr>
          <w:rStyle w:val="EndnoteReference"/>
          <w:rFonts w:eastAsia="Segoe UI" w:cs="Arial"/>
        </w:rPr>
        <w:endnoteReference w:id="8"/>
      </w:r>
      <w:r>
        <w:rPr>
          <w:rFonts w:eastAsia="Segoe UI" w:cs="Arial"/>
        </w:rPr>
        <w:t xml:space="preserve"> Each group will give some of its cities to the Levites in proportion to the inheritance that it receives.”</w:t>
      </w:r>
    </w:p>
    <w:p w:rsidR="007772FB" w:rsidRDefault="007772FB" w:rsidP="007772FB">
      <w:pPr>
        <w:rPr>
          <w:rFonts w:ascii="MEPS Bookman WTS" w:eastAsia="Segoe UI" w:hAnsi="MEPS Bookman WTS" w:cs="Segoe UI"/>
        </w:rPr>
      </w:pPr>
      <w:r>
        <w:rPr>
          <w:rFonts w:eastAsia="Segoe UI" w:cs="Arial"/>
          <w:b/>
        </w:rPr>
        <w:t xml:space="preserve">9 </w:t>
      </w:r>
      <w:r>
        <w:rPr>
          <w:rFonts w:eastAsia="Segoe UI" w:cs="Arial"/>
        </w:rPr>
        <w:t xml:space="preserve">Jehovah continued to speak to Moses, saying: </w:t>
      </w:r>
      <w:r>
        <w:rPr>
          <w:rFonts w:eastAsia="Segoe UI" w:cs="Arial"/>
          <w:b/>
        </w:rPr>
        <w:t xml:space="preserve">10 </w:t>
      </w:r>
      <w:r>
        <w:rPr>
          <w:rFonts w:eastAsia="Segoe UI" w:cs="Arial"/>
        </w:rPr>
        <w:t>“Speak to the Israelites and tell them, ‘You are crossing the Jordan to the land of Ca′naan.</w:t>
      </w:r>
      <w:r w:rsidR="00EA6890">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11 </w:t>
      </w:r>
      <w:r>
        <w:rPr>
          <w:rFonts w:eastAsia="Segoe UI" w:cs="Arial"/>
        </w:rPr>
        <w:t>You should choose cities convenient for yourselves to serve as cities of refuge, where the manslayer who unintentionally kills someone</w:t>
      </w:r>
      <w:r w:rsidR="00EA6890">
        <w:rPr>
          <w:rStyle w:val="FootnoteReference"/>
          <w:rFonts w:eastAsia="Segoe UI" w:cs="Arial"/>
        </w:rPr>
        <w:footnoteReference w:id="2"/>
      </w:r>
      <w:r>
        <w:rPr>
          <w:rFonts w:eastAsia="Segoe UI" w:cs="Arial"/>
        </w:rPr>
        <w:t xml:space="preserve"> should flee.</w:t>
      </w:r>
      <w:r w:rsidR="00EA6890">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12 </w:t>
      </w:r>
      <w:r>
        <w:rPr>
          <w:rFonts w:eastAsia="Segoe UI" w:cs="Arial"/>
        </w:rPr>
        <w:t>These cities will serve as a refuge for you from the blood avenger,</w:t>
      </w:r>
      <w:r w:rsidR="00EA6890">
        <w:rPr>
          <w:rStyle w:val="EndnoteReference"/>
          <w:rFonts w:eastAsia="Segoe UI" w:cs="Arial"/>
        </w:rPr>
        <w:endnoteReference w:id="11"/>
      </w:r>
      <w:r>
        <w:rPr>
          <w:rFonts w:eastAsia="Segoe UI" w:cs="Arial"/>
        </w:rPr>
        <w:t xml:space="preserve"> so that the manslayer will not die until he stands trial before the assembly.</w:t>
      </w:r>
      <w:r w:rsidR="00EA6890">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13 </w:t>
      </w:r>
      <w:r>
        <w:rPr>
          <w:rFonts w:eastAsia="Segoe UI" w:cs="Arial"/>
        </w:rPr>
        <w:t xml:space="preserve">The six cities of refuge that you provide will serve this purpose. </w:t>
      </w:r>
      <w:r>
        <w:rPr>
          <w:rFonts w:eastAsia="Segoe UI" w:cs="Arial"/>
          <w:b/>
        </w:rPr>
        <w:t xml:space="preserve">14 </w:t>
      </w:r>
      <w:r>
        <w:rPr>
          <w:rFonts w:eastAsia="Segoe UI" w:cs="Arial"/>
        </w:rPr>
        <w:t>You will provide three cities on this side of the Jordan</w:t>
      </w:r>
      <w:r w:rsidR="00EA6890">
        <w:rPr>
          <w:rStyle w:val="EndnoteReference"/>
          <w:rFonts w:eastAsia="Segoe UI" w:cs="Arial"/>
        </w:rPr>
        <w:endnoteReference w:id="13"/>
      </w:r>
      <w:r>
        <w:rPr>
          <w:rFonts w:eastAsia="Segoe UI" w:cs="Arial"/>
        </w:rPr>
        <w:t xml:space="preserve"> and three cities in the land of Ca′naan</w:t>
      </w:r>
      <w:r w:rsidR="00EA6890">
        <w:rPr>
          <w:rStyle w:val="EndnoteReference"/>
          <w:rFonts w:eastAsia="Segoe UI" w:cs="Arial"/>
        </w:rPr>
        <w:endnoteReference w:id="14"/>
      </w:r>
      <w:r>
        <w:rPr>
          <w:rFonts w:eastAsia="Segoe UI" w:cs="Arial"/>
        </w:rPr>
        <w:t xml:space="preserve"> to serve as cities of refuge. </w:t>
      </w:r>
      <w:r>
        <w:rPr>
          <w:rFonts w:eastAsia="Segoe UI" w:cs="Arial"/>
          <w:b/>
        </w:rPr>
        <w:t xml:space="preserve">15 </w:t>
      </w:r>
      <w:r>
        <w:rPr>
          <w:rFonts w:eastAsia="Segoe UI" w:cs="Arial"/>
        </w:rPr>
        <w:t>These six cities will serve as a refuge for the Israelites, for the foreign resident,</w:t>
      </w:r>
      <w:r w:rsidR="00EA6890">
        <w:rPr>
          <w:rStyle w:val="EndnoteReference"/>
          <w:rFonts w:eastAsia="Segoe UI" w:cs="Arial"/>
        </w:rPr>
        <w:endnoteReference w:id="15"/>
      </w:r>
      <w:r>
        <w:rPr>
          <w:rFonts w:eastAsia="Segoe UI" w:cs="Arial"/>
        </w:rPr>
        <w:t xml:space="preserve"> and for the settler among them, for anyone to flee there who unintentionally kills someone.</w:t>
      </w:r>
      <w:r w:rsidR="00EA6890">
        <w:rPr>
          <w:rStyle w:val="FootnoteReference"/>
          <w:rFonts w:eastAsia="Segoe UI" w:cs="Arial"/>
        </w:rPr>
        <w:footnoteReference w:id="3"/>
      </w:r>
      <w:r w:rsidR="00EA6890">
        <w:rPr>
          <w:rStyle w:val="EndnoteReference"/>
          <w:rFonts w:eastAsia="Segoe UI" w:cs="Arial"/>
        </w:rPr>
        <w:endnoteReference w:id="16"/>
      </w:r>
    </w:p>
    <w:p w:rsidR="007772FB" w:rsidRDefault="007772FB" w:rsidP="007772FB">
      <w:pPr>
        <w:rPr>
          <w:rFonts w:eastAsia="Segoe UI" w:cs="Arial"/>
        </w:rPr>
      </w:pPr>
      <w:r>
        <w:rPr>
          <w:rFonts w:eastAsia="Segoe UI" w:cs="Arial"/>
          <w:b/>
        </w:rPr>
        <w:t xml:space="preserve">16 </w:t>
      </w:r>
      <w:r>
        <w:rPr>
          <w:rFonts w:eastAsia="Segoe UI" w:cs="Arial"/>
        </w:rPr>
        <w:t>“‘But if he struck him with an iron instrument and he dies, he is a murderer. The murderer should be put to death without fail.</w:t>
      </w:r>
      <w:r w:rsidR="00EA6890">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17 </w:t>
      </w:r>
      <w:r>
        <w:rPr>
          <w:rFonts w:eastAsia="Segoe UI" w:cs="Arial"/>
        </w:rPr>
        <w:t xml:space="preserve">And if he struck him with a stone that could cause death and he dies, he is a murderer. The murderer should be put to death without fail. </w:t>
      </w:r>
      <w:r>
        <w:rPr>
          <w:rFonts w:eastAsia="Segoe UI" w:cs="Arial"/>
          <w:b/>
        </w:rPr>
        <w:t xml:space="preserve">18 </w:t>
      </w:r>
      <w:r>
        <w:rPr>
          <w:rFonts w:eastAsia="Segoe UI" w:cs="Arial"/>
        </w:rPr>
        <w:t>And if he struck him with a wooden instrument that could cause death and he dies, he is a murderer. The murderer should be put to death without fail.</w:t>
      </w:r>
    </w:p>
    <w:p w:rsidR="007772FB" w:rsidRDefault="007772FB" w:rsidP="007772FB">
      <w:pPr>
        <w:rPr>
          <w:rFonts w:eastAsia="Segoe UI" w:cs="Arial"/>
        </w:rPr>
      </w:pPr>
      <w:r>
        <w:rPr>
          <w:rFonts w:eastAsia="Segoe UI" w:cs="Arial"/>
          <w:b/>
        </w:rPr>
        <w:t xml:space="preserve">19 </w:t>
      </w:r>
      <w:r>
        <w:rPr>
          <w:rFonts w:eastAsia="Segoe UI" w:cs="Arial"/>
        </w:rPr>
        <w:t xml:space="preserve">“‘The avenger of blood is the one who will put the murderer to death. When he encounters him, he himself will put him to death. </w:t>
      </w:r>
      <w:r>
        <w:rPr>
          <w:rFonts w:eastAsia="Segoe UI" w:cs="Arial"/>
          <w:b/>
        </w:rPr>
        <w:t xml:space="preserve">20 </w:t>
      </w:r>
      <w:r>
        <w:rPr>
          <w:rFonts w:eastAsia="Segoe UI" w:cs="Arial"/>
        </w:rPr>
        <w:t>If death resulted because he pushed him out of hatred or threw something at him with malicious intent,</w:t>
      </w:r>
      <w:r w:rsidR="00EA6890">
        <w:rPr>
          <w:rStyle w:val="FootnoteReference"/>
          <w:rFonts w:eastAsia="Segoe UI" w:cs="Arial"/>
        </w:rPr>
        <w:footnoteReference w:id="4"/>
      </w:r>
      <w:r w:rsidR="00EA6890">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21 </w:t>
      </w:r>
      <w:r>
        <w:rPr>
          <w:rFonts w:eastAsia="Segoe UI" w:cs="Arial"/>
        </w:rPr>
        <w:t>or out of hatred he struck him with his hand, and he died, the one who struck him will be put to death without fail. He is a murderer. The avenger of blood will put the murderer to death when he encounters him.</w:t>
      </w:r>
    </w:p>
    <w:p w:rsidR="007772FB" w:rsidRDefault="007772FB" w:rsidP="007772FB">
      <w:pPr>
        <w:rPr>
          <w:rFonts w:ascii="MEPS Bookman WTS" w:eastAsia="Segoe UI" w:hAnsi="MEPS Bookman WTS" w:cs="Segoe UI"/>
        </w:rPr>
      </w:pPr>
      <w:r>
        <w:rPr>
          <w:rFonts w:eastAsia="Segoe UI" w:cs="Arial"/>
          <w:b/>
        </w:rPr>
        <w:t xml:space="preserve">22 </w:t>
      </w:r>
      <w:r>
        <w:rPr>
          <w:rFonts w:eastAsia="Segoe UI" w:cs="Arial"/>
        </w:rPr>
        <w:t>“‘But if it was unexpectedly and not out of hatred that he pushed him or threw any article at him without malicious intent,</w:t>
      </w:r>
      <w:r w:rsidR="00EA6890">
        <w:rPr>
          <w:rStyle w:val="FootnoteReference"/>
          <w:rFonts w:eastAsia="Segoe UI" w:cs="Arial"/>
        </w:rPr>
        <w:footnoteReference w:id="5"/>
      </w:r>
      <w:r w:rsidR="00EA6890">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23 </w:t>
      </w:r>
      <w:r>
        <w:rPr>
          <w:rFonts w:eastAsia="Segoe UI" w:cs="Arial"/>
        </w:rPr>
        <w:t xml:space="preserve">or if he did not see him and caused a stone to fall on him and he was not an enemy or seeking his injury, and the person died, </w:t>
      </w:r>
      <w:r>
        <w:rPr>
          <w:rFonts w:eastAsia="Segoe UI" w:cs="Arial"/>
          <w:b/>
        </w:rPr>
        <w:t xml:space="preserve">24 </w:t>
      </w:r>
      <w:r>
        <w:rPr>
          <w:rFonts w:eastAsia="Segoe UI" w:cs="Arial"/>
        </w:rPr>
        <w:t>the assembly should then judge between the one who struck him and the avenger of blood, in harmony with these judgments.</w:t>
      </w:r>
      <w:r w:rsidR="00EA6890">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25 </w:t>
      </w:r>
      <w:r>
        <w:rPr>
          <w:rFonts w:eastAsia="Segoe UI" w:cs="Arial"/>
        </w:rPr>
        <w:t>The assembly should then save the manslayer from the hand of the avenger of blood and return him to his city of refuge to which he had fled, and he must dwell in it until the death of the high priest who was anointed with the holy oil.</w:t>
      </w:r>
      <w:r w:rsidR="00EA6890">
        <w:rPr>
          <w:rStyle w:val="EndnoteReference"/>
          <w:rFonts w:eastAsia="Segoe UI" w:cs="Arial"/>
        </w:rPr>
        <w:endnoteReference w:id="21"/>
      </w:r>
    </w:p>
    <w:p w:rsidR="007772FB" w:rsidRDefault="007772FB" w:rsidP="007772FB">
      <w:pPr>
        <w:rPr>
          <w:rFonts w:eastAsia="Segoe UI" w:cs="Arial"/>
        </w:rPr>
      </w:pPr>
      <w:r>
        <w:rPr>
          <w:rFonts w:eastAsia="Segoe UI" w:cs="Arial"/>
          <w:b/>
        </w:rPr>
        <w:t xml:space="preserve">26 </w:t>
      </w:r>
      <w:r>
        <w:rPr>
          <w:rFonts w:eastAsia="Segoe UI" w:cs="Arial"/>
        </w:rPr>
        <w:t xml:space="preserve">“‘But if the manslayer goes out of the boundary of his city of refuge to which he fled </w:t>
      </w:r>
      <w:r>
        <w:rPr>
          <w:rFonts w:eastAsia="Segoe UI" w:cs="Arial"/>
          <w:b/>
        </w:rPr>
        <w:t xml:space="preserve">27 </w:t>
      </w:r>
      <w:r>
        <w:rPr>
          <w:rFonts w:eastAsia="Segoe UI" w:cs="Arial"/>
        </w:rPr>
        <w:t xml:space="preserve">and the avenger of blood finds him outside the boundary of his city of refuge and slays the manslayer, he has no bloodguilt. </w:t>
      </w:r>
      <w:r>
        <w:rPr>
          <w:rFonts w:eastAsia="Segoe UI" w:cs="Arial"/>
          <w:b/>
        </w:rPr>
        <w:t xml:space="preserve">28 </w:t>
      </w:r>
      <w:r>
        <w:rPr>
          <w:rFonts w:eastAsia="Segoe UI" w:cs="Arial"/>
        </w:rPr>
        <w:t>For he must dwell in his city of refuge until the high priest’s death. But after the high priest’s death, the manslayer may return to the land that he owns.</w:t>
      </w:r>
      <w:r w:rsidR="00EA6890">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29 </w:t>
      </w:r>
      <w:r>
        <w:rPr>
          <w:rFonts w:eastAsia="Segoe UI" w:cs="Arial"/>
        </w:rPr>
        <w:t>These things will serve for you as a statute for judgment throughout your generations in all your dwelling places.</w:t>
      </w:r>
    </w:p>
    <w:p w:rsidR="007772FB" w:rsidRDefault="007772FB" w:rsidP="007772FB">
      <w:pPr>
        <w:rPr>
          <w:rFonts w:eastAsia="Segoe UI" w:cs="Arial"/>
        </w:rPr>
      </w:pPr>
      <w:r>
        <w:rPr>
          <w:rFonts w:eastAsia="Segoe UI" w:cs="Arial"/>
          <w:b/>
        </w:rPr>
        <w:t xml:space="preserve">30 </w:t>
      </w:r>
      <w:r>
        <w:rPr>
          <w:rFonts w:eastAsia="Segoe UI" w:cs="Arial"/>
        </w:rPr>
        <w:t>“‘Whoever kills a person</w:t>
      </w:r>
      <w:r w:rsidR="00EA6890">
        <w:rPr>
          <w:rStyle w:val="FootnoteReference"/>
          <w:rFonts w:eastAsia="Segoe UI" w:cs="Arial"/>
        </w:rPr>
        <w:footnoteReference w:id="6"/>
      </w:r>
      <w:r>
        <w:rPr>
          <w:rFonts w:eastAsia="Segoe UI" w:cs="Arial"/>
        </w:rPr>
        <w:t xml:space="preserve"> should be put to death as a murderer</w:t>
      </w:r>
      <w:r w:rsidR="00EA6890">
        <w:rPr>
          <w:rStyle w:val="EndnoteReference"/>
          <w:rFonts w:eastAsia="Segoe UI" w:cs="Arial"/>
        </w:rPr>
        <w:endnoteReference w:id="23"/>
      </w:r>
      <w:r>
        <w:rPr>
          <w:rFonts w:eastAsia="Segoe UI" w:cs="Arial"/>
        </w:rPr>
        <w:t xml:space="preserve"> on the testimony</w:t>
      </w:r>
      <w:r w:rsidR="00EA6890">
        <w:rPr>
          <w:rStyle w:val="FootnoteReference"/>
          <w:rFonts w:eastAsia="Segoe UI" w:cs="Arial"/>
        </w:rPr>
        <w:footnoteReference w:id="7"/>
      </w:r>
      <w:r>
        <w:rPr>
          <w:rFonts w:eastAsia="Segoe UI" w:cs="Arial"/>
        </w:rPr>
        <w:t xml:space="preserve"> of witnesses;</w:t>
      </w:r>
      <w:r w:rsidR="00EA6890">
        <w:rPr>
          <w:rStyle w:val="EndnoteReference"/>
          <w:rFonts w:eastAsia="Segoe UI" w:cs="Arial"/>
        </w:rPr>
        <w:endnoteReference w:id="24"/>
      </w:r>
      <w:r>
        <w:rPr>
          <w:rFonts w:eastAsia="Segoe UI" w:cs="Arial"/>
        </w:rPr>
        <w:t xml:space="preserve"> but no one</w:t>
      </w:r>
      <w:r w:rsidR="00EA6890">
        <w:rPr>
          <w:rStyle w:val="FootnoteReference"/>
          <w:rFonts w:eastAsia="Segoe UI" w:cs="Arial"/>
        </w:rPr>
        <w:footnoteReference w:id="8"/>
      </w:r>
      <w:r>
        <w:rPr>
          <w:rFonts w:eastAsia="Segoe UI" w:cs="Arial"/>
        </w:rPr>
        <w:t xml:space="preserve"> will be put to death on the testimony of just one witness. </w:t>
      </w:r>
      <w:r>
        <w:rPr>
          <w:rFonts w:eastAsia="Segoe UI" w:cs="Arial"/>
          <w:b/>
        </w:rPr>
        <w:t xml:space="preserve">31 </w:t>
      </w:r>
      <w:r>
        <w:rPr>
          <w:rFonts w:eastAsia="Segoe UI" w:cs="Arial"/>
        </w:rPr>
        <w:t>You must take no ransom for the life</w:t>
      </w:r>
      <w:r w:rsidR="00EA6890">
        <w:rPr>
          <w:rStyle w:val="FootnoteReference"/>
          <w:rFonts w:eastAsia="Segoe UI" w:cs="Arial"/>
        </w:rPr>
        <w:footnoteReference w:id="9"/>
      </w:r>
      <w:r>
        <w:rPr>
          <w:rFonts w:eastAsia="Segoe UI" w:cs="Arial"/>
        </w:rPr>
        <w:t xml:space="preserve"> of a murderer who is deserving to die, for he should be put to death without fail.</w:t>
      </w:r>
      <w:r w:rsidR="00EA6890">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32 </w:t>
      </w:r>
      <w:r>
        <w:rPr>
          <w:rFonts w:eastAsia="Segoe UI" w:cs="Arial"/>
        </w:rPr>
        <w:t>And you must not take a ransom for one who has fled to his city of refuge, allowing him to resume dwelling in his land before the death of the high priest.</w:t>
      </w:r>
    </w:p>
    <w:p w:rsidR="007772FB" w:rsidRDefault="007772FB" w:rsidP="007772FB">
      <w:pPr>
        <w:rPr>
          <w:rFonts w:ascii="MEPS Bookman WTS" w:eastAsia="Segoe UI" w:hAnsi="MEPS Bookman WTS" w:cs="Segoe UI"/>
        </w:rPr>
      </w:pPr>
      <w:r>
        <w:rPr>
          <w:rFonts w:eastAsia="Segoe UI" w:cs="Arial"/>
          <w:b/>
        </w:rPr>
        <w:t xml:space="preserve">33 </w:t>
      </w:r>
      <w:r>
        <w:rPr>
          <w:rFonts w:eastAsia="Segoe UI" w:cs="Arial"/>
        </w:rPr>
        <w:t>“‘You must not pollute the land in which you live, for blood pollutes the land,</w:t>
      </w:r>
      <w:r w:rsidR="00EA6890">
        <w:rPr>
          <w:rStyle w:val="EndnoteReference"/>
          <w:rFonts w:eastAsia="Segoe UI" w:cs="Arial"/>
        </w:rPr>
        <w:endnoteReference w:id="26"/>
      </w:r>
      <w:r>
        <w:rPr>
          <w:rFonts w:eastAsia="Segoe UI" w:cs="Arial"/>
        </w:rPr>
        <w:t xml:space="preserve"> and there may be no atonement for the blood that has been spilled on the land except by the blood of the one who spilled it.</w:t>
      </w:r>
      <w:r w:rsidR="00EA6890">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34 </w:t>
      </w:r>
      <w:r>
        <w:rPr>
          <w:rFonts w:eastAsia="Segoe UI" w:cs="Arial"/>
        </w:rPr>
        <w:t>You must not defile the land in which you dwell, in which I am residing; for I, Jehovah, am residing in the midst of the people of Israel.’”</w:t>
      </w:r>
      <w:r w:rsidR="00EA6890">
        <w:rPr>
          <w:rStyle w:val="EndnoteReference"/>
          <w:rFonts w:eastAsia="Segoe UI" w:cs="Arial"/>
        </w:rPr>
        <w:endnoteReference w:id="28"/>
      </w:r>
    </w:p>
    <w:p w:rsidR="00762BCB" w:rsidRPr="007772FB" w:rsidRDefault="00762BCB" w:rsidP="007772FB"/>
    <w:sectPr w:rsidR="00762BCB" w:rsidRPr="007772FB"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3138" w:rsidRDefault="00283138">
      <w:r>
        <w:separator/>
      </w:r>
    </w:p>
  </w:endnote>
  <w:endnote w:type="continuationSeparator" w:id="0">
    <w:p w:rsidR="00283138" w:rsidRDefault="00283138">
      <w:r>
        <w:continuationSeparator/>
      </w:r>
    </w:p>
  </w:endnote>
  <w:endnote w:id="1">
    <w:p w:rsidR="00EA6890" w:rsidRDefault="00EA6890">
      <w:pPr>
        <w:pStyle w:val="EndnoteText"/>
      </w:pPr>
      <w:r>
        <w:rPr>
          <w:rStyle w:val="EndnoteReference"/>
        </w:rPr>
        <w:endnoteRef/>
      </w:r>
      <w:r>
        <w:t xml:space="preserve"> Numbers 22:1; 36:13</w:t>
      </w:r>
    </w:p>
  </w:endnote>
  <w:endnote w:id="2">
    <w:p w:rsidR="00EA6890" w:rsidRDefault="00EA6890">
      <w:pPr>
        <w:pStyle w:val="EndnoteText"/>
      </w:pPr>
      <w:r>
        <w:rPr>
          <w:rStyle w:val="EndnoteReference"/>
        </w:rPr>
        <w:endnoteRef/>
      </w:r>
      <w:r>
        <w:t xml:space="preserve"> Genesis 49:7; Deuteronomy 18:1; Joshua 14:4</w:t>
      </w:r>
    </w:p>
  </w:endnote>
  <w:endnote w:id="3">
    <w:p w:rsidR="00EA6890" w:rsidRDefault="00EA6890">
      <w:pPr>
        <w:pStyle w:val="EndnoteText"/>
      </w:pPr>
      <w:r>
        <w:rPr>
          <w:rStyle w:val="EndnoteReference"/>
        </w:rPr>
        <w:endnoteRef/>
      </w:r>
      <w:r>
        <w:t xml:space="preserve"> Leviticus 25:32-34; Joshua 21:3; 2 Chronicles 11:14</w:t>
      </w:r>
    </w:p>
  </w:endnote>
  <w:endnote w:id="4">
    <w:p w:rsidR="00EA6890" w:rsidRDefault="00EA6890">
      <w:pPr>
        <w:pStyle w:val="EndnoteText"/>
      </w:pPr>
      <w:r>
        <w:rPr>
          <w:rStyle w:val="EndnoteReference"/>
        </w:rPr>
        <w:endnoteRef/>
      </w:r>
      <w:r>
        <w:t xml:space="preserve"> Joshua 20:2, 3, 7, 8; 21:13, 21, 27, 32, 36, 38</w:t>
      </w:r>
    </w:p>
  </w:endnote>
  <w:endnote w:id="5">
    <w:p w:rsidR="00EA6890" w:rsidRDefault="00EA6890">
      <w:pPr>
        <w:pStyle w:val="EndnoteText"/>
      </w:pPr>
      <w:r>
        <w:rPr>
          <w:rStyle w:val="EndnoteReference"/>
        </w:rPr>
        <w:endnoteRef/>
      </w:r>
      <w:r>
        <w:t xml:space="preserve"> Deuteronomy 4:42</w:t>
      </w:r>
    </w:p>
  </w:endnote>
  <w:endnote w:id="6">
    <w:p w:rsidR="00EA6890" w:rsidRDefault="00EA6890">
      <w:pPr>
        <w:pStyle w:val="EndnoteText"/>
      </w:pPr>
      <w:r>
        <w:rPr>
          <w:rStyle w:val="EndnoteReference"/>
        </w:rPr>
        <w:endnoteRef/>
      </w:r>
      <w:r>
        <w:t xml:space="preserve"> Joshua 21:3</w:t>
      </w:r>
    </w:p>
  </w:endnote>
  <w:endnote w:id="7">
    <w:p w:rsidR="00EA6890" w:rsidRDefault="00EA6890">
      <w:pPr>
        <w:pStyle w:val="EndnoteText"/>
      </w:pPr>
      <w:r>
        <w:rPr>
          <w:rStyle w:val="EndnoteReference"/>
        </w:rPr>
        <w:endnoteRef/>
      </w:r>
      <w:r>
        <w:t xml:space="preserve"> Genesis 49:7</w:t>
      </w:r>
    </w:p>
  </w:endnote>
  <w:endnote w:id="8">
    <w:p w:rsidR="00EA6890" w:rsidRDefault="00EA6890">
      <w:pPr>
        <w:pStyle w:val="EndnoteText"/>
      </w:pPr>
      <w:r>
        <w:rPr>
          <w:rStyle w:val="EndnoteReference"/>
        </w:rPr>
        <w:endnoteRef/>
      </w:r>
      <w:r>
        <w:t xml:space="preserve"> Numbers 26:54; 33:54</w:t>
      </w:r>
    </w:p>
  </w:endnote>
  <w:endnote w:id="9">
    <w:p w:rsidR="00EA6890" w:rsidRDefault="00EA6890">
      <w:pPr>
        <w:pStyle w:val="EndnoteText"/>
      </w:pPr>
      <w:r>
        <w:rPr>
          <w:rStyle w:val="EndnoteReference"/>
        </w:rPr>
        <w:endnoteRef/>
      </w:r>
      <w:r>
        <w:t xml:space="preserve"> Exodus 3:8; 23:23; Numbers 34:2</w:t>
      </w:r>
    </w:p>
  </w:endnote>
  <w:endnote w:id="10">
    <w:p w:rsidR="00EA6890" w:rsidRDefault="00EA6890">
      <w:pPr>
        <w:pStyle w:val="EndnoteText"/>
      </w:pPr>
      <w:r>
        <w:rPr>
          <w:rStyle w:val="EndnoteReference"/>
        </w:rPr>
        <w:endnoteRef/>
      </w:r>
      <w:r>
        <w:t xml:space="preserve"> Exodus 21:12, 13; Deuteronomy 4:42; 19:4, 5</w:t>
      </w:r>
    </w:p>
  </w:endnote>
  <w:endnote w:id="11">
    <w:p w:rsidR="00EA6890" w:rsidRDefault="00EA6890">
      <w:pPr>
        <w:pStyle w:val="EndnoteText"/>
      </w:pPr>
      <w:r>
        <w:rPr>
          <w:rStyle w:val="EndnoteReference"/>
        </w:rPr>
        <w:endnoteRef/>
      </w:r>
      <w:r>
        <w:t xml:space="preserve"> Numbers 35:19; Deuteronomy 19:6</w:t>
      </w:r>
    </w:p>
  </w:endnote>
  <w:endnote w:id="12">
    <w:p w:rsidR="00EA6890" w:rsidRDefault="00EA6890">
      <w:pPr>
        <w:pStyle w:val="EndnoteText"/>
      </w:pPr>
      <w:r>
        <w:rPr>
          <w:rStyle w:val="EndnoteReference"/>
        </w:rPr>
        <w:endnoteRef/>
      </w:r>
      <w:r>
        <w:t xml:space="preserve"> Deuteronomy 19:11, 12; Joshua 20:5, 9</w:t>
      </w:r>
    </w:p>
  </w:endnote>
  <w:endnote w:id="13">
    <w:p w:rsidR="00EA6890" w:rsidRDefault="00EA6890">
      <w:pPr>
        <w:pStyle w:val="EndnoteText"/>
      </w:pPr>
      <w:r>
        <w:rPr>
          <w:rStyle w:val="EndnoteReference"/>
        </w:rPr>
        <w:endnoteRef/>
      </w:r>
      <w:r>
        <w:t xml:space="preserve"> Deuteronomy 4:41-43</w:t>
      </w:r>
    </w:p>
  </w:endnote>
  <w:endnote w:id="14">
    <w:p w:rsidR="00EA6890" w:rsidRDefault="00EA6890">
      <w:pPr>
        <w:pStyle w:val="EndnoteText"/>
      </w:pPr>
      <w:r>
        <w:rPr>
          <w:rStyle w:val="EndnoteReference"/>
        </w:rPr>
        <w:endnoteRef/>
      </w:r>
      <w:r>
        <w:t xml:space="preserve"> Deuteronomy 19:8, 9; Joshua 20:7</w:t>
      </w:r>
    </w:p>
  </w:endnote>
  <w:endnote w:id="15">
    <w:p w:rsidR="00EA6890" w:rsidRDefault="00EA6890">
      <w:pPr>
        <w:pStyle w:val="EndnoteText"/>
      </w:pPr>
      <w:r>
        <w:rPr>
          <w:rStyle w:val="EndnoteReference"/>
        </w:rPr>
        <w:endnoteRef/>
      </w:r>
      <w:r>
        <w:t xml:space="preserve"> Exodus 12:49; Leviticus 19:34; Numbers 15:16</w:t>
      </w:r>
    </w:p>
  </w:endnote>
  <w:endnote w:id="16">
    <w:p w:rsidR="00EA6890" w:rsidRDefault="00EA6890">
      <w:pPr>
        <w:pStyle w:val="EndnoteText"/>
      </w:pPr>
      <w:r>
        <w:rPr>
          <w:rStyle w:val="EndnoteReference"/>
        </w:rPr>
        <w:endnoteRef/>
      </w:r>
      <w:r>
        <w:t xml:space="preserve"> Joshua 20:2, 3</w:t>
      </w:r>
    </w:p>
  </w:endnote>
  <w:endnote w:id="17">
    <w:p w:rsidR="00EA6890" w:rsidRDefault="00EA6890">
      <w:pPr>
        <w:pStyle w:val="EndnoteText"/>
      </w:pPr>
      <w:r>
        <w:rPr>
          <w:rStyle w:val="EndnoteReference"/>
        </w:rPr>
        <w:endnoteRef/>
      </w:r>
      <w:r>
        <w:t xml:space="preserve"> Genesis 9:5; Exodus 21:12; Leviticus 24:17; Deuteronomy 19:11, 12</w:t>
      </w:r>
    </w:p>
  </w:endnote>
  <w:endnote w:id="18">
    <w:p w:rsidR="00EA6890" w:rsidRDefault="00EA6890">
      <w:pPr>
        <w:pStyle w:val="EndnoteText"/>
      </w:pPr>
      <w:r>
        <w:rPr>
          <w:rStyle w:val="EndnoteReference"/>
        </w:rPr>
        <w:endnoteRef/>
      </w:r>
      <w:r>
        <w:t xml:space="preserve"> Exodus 21:14; Deuteronomy 19:11, 12</w:t>
      </w:r>
    </w:p>
  </w:endnote>
  <w:endnote w:id="19">
    <w:p w:rsidR="00EA6890" w:rsidRDefault="00EA6890">
      <w:pPr>
        <w:pStyle w:val="EndnoteText"/>
      </w:pPr>
      <w:r>
        <w:rPr>
          <w:rStyle w:val="EndnoteReference"/>
        </w:rPr>
        <w:endnoteRef/>
      </w:r>
      <w:r>
        <w:t xml:space="preserve"> Exodus 21:12, 13; Deuteronomy 19:4, 5; Joshua 20:2, 3</w:t>
      </w:r>
    </w:p>
  </w:endnote>
  <w:endnote w:id="20">
    <w:p w:rsidR="00EA6890" w:rsidRDefault="00EA6890">
      <w:pPr>
        <w:pStyle w:val="EndnoteText"/>
      </w:pPr>
      <w:r>
        <w:rPr>
          <w:rStyle w:val="EndnoteReference"/>
        </w:rPr>
        <w:endnoteRef/>
      </w:r>
      <w:r>
        <w:t xml:space="preserve"> Numbers 35:12; Joshua 20:4, 5</w:t>
      </w:r>
    </w:p>
  </w:endnote>
  <w:endnote w:id="21">
    <w:p w:rsidR="00EA6890" w:rsidRDefault="00EA6890">
      <w:pPr>
        <w:pStyle w:val="EndnoteText"/>
      </w:pPr>
      <w:r>
        <w:rPr>
          <w:rStyle w:val="EndnoteReference"/>
        </w:rPr>
        <w:endnoteRef/>
      </w:r>
      <w:r>
        <w:t xml:space="preserve"> Exodus 29:4, 7</w:t>
      </w:r>
    </w:p>
  </w:endnote>
  <w:endnote w:id="22">
    <w:p w:rsidR="00EA6890" w:rsidRDefault="00EA6890">
      <w:pPr>
        <w:pStyle w:val="EndnoteText"/>
      </w:pPr>
      <w:r>
        <w:rPr>
          <w:rStyle w:val="EndnoteReference"/>
        </w:rPr>
        <w:endnoteRef/>
      </w:r>
      <w:r>
        <w:t xml:space="preserve"> Joshua 20:6</w:t>
      </w:r>
    </w:p>
  </w:endnote>
  <w:endnote w:id="23">
    <w:p w:rsidR="00EA6890" w:rsidRDefault="00EA6890">
      <w:pPr>
        <w:pStyle w:val="EndnoteText"/>
      </w:pPr>
      <w:r>
        <w:rPr>
          <w:rStyle w:val="EndnoteReference"/>
        </w:rPr>
        <w:endnoteRef/>
      </w:r>
      <w:r>
        <w:t xml:space="preserve"> Genesis 9:6; Exodus 20:13</w:t>
      </w:r>
    </w:p>
  </w:endnote>
  <w:endnote w:id="24">
    <w:p w:rsidR="00EA6890" w:rsidRDefault="00EA6890">
      <w:pPr>
        <w:pStyle w:val="EndnoteText"/>
      </w:pPr>
      <w:r>
        <w:rPr>
          <w:rStyle w:val="EndnoteReference"/>
        </w:rPr>
        <w:endnoteRef/>
      </w:r>
      <w:r>
        <w:t xml:space="preserve"> Deuteronomy 17:6; 19:15; Hebrews 10:28</w:t>
      </w:r>
    </w:p>
  </w:endnote>
  <w:endnote w:id="25">
    <w:p w:rsidR="00EA6890" w:rsidRDefault="00EA6890">
      <w:pPr>
        <w:pStyle w:val="EndnoteText"/>
      </w:pPr>
      <w:r>
        <w:rPr>
          <w:rStyle w:val="EndnoteReference"/>
        </w:rPr>
        <w:endnoteRef/>
      </w:r>
      <w:r>
        <w:t xml:space="preserve"> Genesis 9:5; Exodus 21:14; Deuteronomy 19:13</w:t>
      </w:r>
    </w:p>
  </w:endnote>
  <w:endnote w:id="26">
    <w:p w:rsidR="00EA6890" w:rsidRDefault="00EA6890">
      <w:pPr>
        <w:pStyle w:val="EndnoteText"/>
      </w:pPr>
      <w:r>
        <w:rPr>
          <w:rStyle w:val="EndnoteReference"/>
        </w:rPr>
        <w:endnoteRef/>
      </w:r>
      <w:r>
        <w:t xml:space="preserve"> Genesis 4:8, 10; Psalms 106:38; Luke 11:50</w:t>
      </w:r>
    </w:p>
  </w:endnote>
  <w:endnote w:id="27">
    <w:p w:rsidR="00EA6890" w:rsidRDefault="00EA6890">
      <w:pPr>
        <w:pStyle w:val="EndnoteText"/>
      </w:pPr>
      <w:r>
        <w:rPr>
          <w:rStyle w:val="EndnoteReference"/>
        </w:rPr>
        <w:endnoteRef/>
      </w:r>
      <w:r>
        <w:t xml:space="preserve"> Genesis 9:6</w:t>
      </w:r>
    </w:p>
  </w:endnote>
  <w:endnote w:id="28">
    <w:p w:rsidR="00EA6890" w:rsidRDefault="00EA6890">
      <w:pPr>
        <w:pStyle w:val="EndnoteText"/>
      </w:pPr>
      <w:r>
        <w:rPr>
          <w:rStyle w:val="EndnoteReference"/>
        </w:rPr>
        <w:endnoteRef/>
      </w:r>
      <w:r>
        <w:t xml:space="preserve"> Exodus 25:8; Leviticus 26:12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3138" w:rsidRDefault="00283138">
      <w:r>
        <w:separator/>
      </w:r>
    </w:p>
  </w:footnote>
  <w:footnote w:type="continuationSeparator" w:id="0">
    <w:p w:rsidR="00283138" w:rsidRDefault="00283138">
      <w:r>
        <w:continuationSeparator/>
      </w:r>
    </w:p>
  </w:footnote>
  <w:footnote w:id="1">
    <w:p w:rsidR="00EA6890" w:rsidRDefault="00EA6890">
      <w:pPr>
        <w:pStyle w:val="FootnoteText"/>
      </w:pPr>
      <w:r>
        <w:rPr>
          <w:rStyle w:val="FootnoteReference"/>
        </w:rPr>
        <w:footnoteRef/>
      </w:r>
      <w:r>
        <w:t xml:space="preserve"> </w:t>
      </w:r>
      <w:r>
        <w:t>A cubit equaled 44.5 cm (17.5 in.). See App. B14.</w:t>
      </w:r>
    </w:p>
  </w:footnote>
  <w:footnote w:id="2">
    <w:p w:rsidR="00EA6890" w:rsidRDefault="00EA6890">
      <w:pPr>
        <w:pStyle w:val="FootnoteText"/>
      </w:pPr>
      <w:r>
        <w:rPr>
          <w:rStyle w:val="FootnoteReference"/>
        </w:rPr>
        <w:footnoteRef/>
      </w:r>
      <w:r>
        <w:t xml:space="preserve"> </w:t>
      </w:r>
      <w:r>
        <w:t>Or “strikes a soul.”</w:t>
      </w:r>
    </w:p>
  </w:footnote>
  <w:footnote w:id="3">
    <w:p w:rsidR="00EA6890" w:rsidRDefault="00EA6890">
      <w:pPr>
        <w:pStyle w:val="FootnoteText"/>
      </w:pPr>
      <w:r>
        <w:rPr>
          <w:rStyle w:val="FootnoteReference"/>
        </w:rPr>
        <w:footnoteRef/>
      </w:r>
      <w:r>
        <w:t xml:space="preserve"> </w:t>
      </w:r>
      <w:r>
        <w:t>Or “strikes a soul.”</w:t>
      </w:r>
    </w:p>
  </w:footnote>
  <w:footnote w:id="4">
    <w:p w:rsidR="00EA6890" w:rsidRDefault="00EA6890">
      <w:pPr>
        <w:pStyle w:val="FootnoteText"/>
      </w:pPr>
      <w:r>
        <w:rPr>
          <w:rStyle w:val="FootnoteReference"/>
        </w:rPr>
        <w:footnoteRef/>
      </w:r>
      <w:r>
        <w:t xml:space="preserve"> </w:t>
      </w:r>
      <w:r>
        <w:t>Lit., “while lying in wait.”</w:t>
      </w:r>
    </w:p>
  </w:footnote>
  <w:footnote w:id="5">
    <w:p w:rsidR="00EA6890" w:rsidRDefault="00EA6890">
      <w:pPr>
        <w:pStyle w:val="FootnoteText"/>
      </w:pPr>
      <w:r>
        <w:rPr>
          <w:rStyle w:val="FootnoteReference"/>
        </w:rPr>
        <w:footnoteRef/>
      </w:r>
      <w:r>
        <w:t xml:space="preserve"> </w:t>
      </w:r>
      <w:r>
        <w:t xml:space="preserve">Lit., “without lying in wait.” </w:t>
      </w:r>
    </w:p>
  </w:footnote>
  <w:footnote w:id="6">
    <w:p w:rsidR="00EA6890" w:rsidRDefault="00EA6890">
      <w:pPr>
        <w:pStyle w:val="FootnoteText"/>
      </w:pPr>
      <w:r>
        <w:rPr>
          <w:rStyle w:val="FootnoteReference"/>
        </w:rPr>
        <w:footnoteRef/>
      </w:r>
      <w:r>
        <w:t xml:space="preserve"> </w:t>
      </w:r>
      <w:r>
        <w:t>Or “soul.”</w:t>
      </w:r>
    </w:p>
  </w:footnote>
  <w:footnote w:id="7">
    <w:p w:rsidR="00EA6890" w:rsidRDefault="00EA6890">
      <w:pPr>
        <w:pStyle w:val="FootnoteText"/>
      </w:pPr>
      <w:r>
        <w:rPr>
          <w:rStyle w:val="FootnoteReference"/>
        </w:rPr>
        <w:footnoteRef/>
      </w:r>
      <w:r>
        <w:t xml:space="preserve"> </w:t>
      </w:r>
      <w:r>
        <w:t>Lit., “mouth.”</w:t>
      </w:r>
    </w:p>
  </w:footnote>
  <w:footnote w:id="8">
    <w:p w:rsidR="00EA6890" w:rsidRDefault="00EA6890">
      <w:pPr>
        <w:pStyle w:val="FootnoteText"/>
      </w:pPr>
      <w:r>
        <w:rPr>
          <w:rStyle w:val="FootnoteReference"/>
        </w:rPr>
        <w:footnoteRef/>
      </w:r>
      <w:r>
        <w:t xml:space="preserve"> </w:t>
      </w:r>
      <w:r>
        <w:t>Or “soul.”</w:t>
      </w:r>
    </w:p>
  </w:footnote>
  <w:footnote w:id="9">
    <w:p w:rsidR="00EA6890" w:rsidRDefault="00EA6890">
      <w:pPr>
        <w:pStyle w:val="FootnoteText"/>
      </w:pPr>
      <w:r>
        <w:rPr>
          <w:rStyle w:val="FootnoteReference"/>
        </w:rPr>
        <w:footnoteRef/>
      </w:r>
      <w:r>
        <w:t xml:space="preserve"> </w:t>
      </w:r>
      <w:r>
        <w:t>Or “soul.”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A689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A6890">
        <w:t>Numbers Chapter 35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A6890">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A6890">
      <w:rPr>
        <w:noProof/>
        <w:snapToGrid w:val="0"/>
      </w:rPr>
      <w:t>Numbers 35.Advisor.docx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A6890">
        <w:t>Numbers Chapter 35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A6890">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A6890">
      <w:rPr>
        <w:noProof/>
        <w:snapToGrid w:val="0"/>
      </w:rPr>
      <w:t>Numbers 35.Advisor.docx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A689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A6890">
      <w:t>&lt;not set&gt;</w:t>
    </w:r>
    <w:r>
      <w:fldChar w:fldCharType="end"/>
    </w:r>
    <w:r>
      <w:tab/>
      <w:t xml:space="preserve">Checker: </w:t>
    </w:r>
    <w:r>
      <w:fldChar w:fldCharType="begin"/>
    </w:r>
    <w:r>
      <w:instrText xml:space="preserve"> DOCPROPERTY "_RoleChecker" </w:instrText>
    </w:r>
    <w:r>
      <w:fldChar w:fldCharType="separate"/>
    </w:r>
    <w:r w:rsidR="00EA689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A689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138"/>
    <w:rsid w:val="00245EDD"/>
    <w:rsid w:val="0026230D"/>
    <w:rsid w:val="00283138"/>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772F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EA6890"/>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7376afc06ef4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A6890"/>
    <w:pPr>
      <w:spacing w:line="240" w:lineRule="auto"/>
    </w:pPr>
    <w:rPr>
      <w:sz w:val="20"/>
      <w:szCs w:val="20"/>
    </w:rPr>
  </w:style>
  <w:style w:type="character" w:customStyle="1" w:styleId="FootnoteTextChar">
    <w:name w:val="Footnote Text Char"/>
    <w:basedOn w:val="DefaultParagraphFont"/>
    <w:link w:val="FootnoteText"/>
    <w:rsid w:val="00EA6890"/>
    <w:rPr>
      <w:rFonts w:ascii="Arial" w:eastAsia="Times New Roman" w:hAnsi="Arial" w:cs="Latha"/>
      <w:lang w:val="en-US" w:eastAsia="en-US" w:bidi="ta-IN"/>
    </w:rPr>
  </w:style>
  <w:style w:type="character" w:styleId="FootnoteReference">
    <w:name w:val="footnote reference"/>
    <w:basedOn w:val="DefaultParagraphFont"/>
    <w:rsid w:val="00EA6890"/>
    <w:rPr>
      <w:vertAlign w:val="superscript"/>
    </w:rPr>
  </w:style>
  <w:style w:type="paragraph" w:styleId="EndnoteText">
    <w:name w:val="endnote text"/>
    <w:basedOn w:val="Normal"/>
    <w:link w:val="EndnoteTextChar"/>
    <w:rsid w:val="00EA6890"/>
    <w:pPr>
      <w:spacing w:line="240" w:lineRule="auto"/>
    </w:pPr>
    <w:rPr>
      <w:sz w:val="20"/>
      <w:szCs w:val="20"/>
    </w:rPr>
  </w:style>
  <w:style w:type="character" w:customStyle="1" w:styleId="EndnoteTextChar">
    <w:name w:val="Endnote Text Char"/>
    <w:basedOn w:val="DefaultParagraphFont"/>
    <w:link w:val="EndnoteText"/>
    <w:rsid w:val="00EA6890"/>
    <w:rPr>
      <w:rFonts w:ascii="Arial" w:eastAsia="Times New Roman" w:hAnsi="Arial" w:cs="Latha"/>
      <w:lang w:val="en-US" w:eastAsia="en-US" w:bidi="ta-IN"/>
    </w:rPr>
  </w:style>
  <w:style w:type="character" w:styleId="EndnoteReference">
    <w:name w:val="endnote reference"/>
    <w:basedOn w:val="DefaultParagraphFont"/>
    <w:rsid w:val="00EA689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A6890"/>
    <w:pPr>
      <w:spacing w:line="240" w:lineRule="auto"/>
    </w:pPr>
    <w:rPr>
      <w:sz w:val="20"/>
      <w:szCs w:val="20"/>
    </w:rPr>
  </w:style>
  <w:style w:type="character" w:customStyle="1" w:styleId="FootnoteTextChar">
    <w:name w:val="Footnote Text Char"/>
    <w:basedOn w:val="DefaultParagraphFont"/>
    <w:link w:val="FootnoteText"/>
    <w:rsid w:val="00EA6890"/>
    <w:rPr>
      <w:rFonts w:ascii="Arial" w:eastAsia="Times New Roman" w:hAnsi="Arial" w:cs="Latha"/>
      <w:lang w:val="en-US" w:eastAsia="en-US" w:bidi="ta-IN"/>
    </w:rPr>
  </w:style>
  <w:style w:type="character" w:styleId="FootnoteReference">
    <w:name w:val="footnote reference"/>
    <w:basedOn w:val="DefaultParagraphFont"/>
    <w:rsid w:val="00EA6890"/>
    <w:rPr>
      <w:vertAlign w:val="superscript"/>
    </w:rPr>
  </w:style>
  <w:style w:type="paragraph" w:styleId="EndnoteText">
    <w:name w:val="endnote text"/>
    <w:basedOn w:val="Normal"/>
    <w:link w:val="EndnoteTextChar"/>
    <w:rsid w:val="00EA6890"/>
    <w:pPr>
      <w:spacing w:line="240" w:lineRule="auto"/>
    </w:pPr>
    <w:rPr>
      <w:sz w:val="20"/>
      <w:szCs w:val="20"/>
    </w:rPr>
  </w:style>
  <w:style w:type="character" w:customStyle="1" w:styleId="EndnoteTextChar">
    <w:name w:val="Endnote Text Char"/>
    <w:basedOn w:val="DefaultParagraphFont"/>
    <w:link w:val="EndnoteText"/>
    <w:rsid w:val="00EA6890"/>
    <w:rPr>
      <w:rFonts w:ascii="Arial" w:eastAsia="Times New Roman" w:hAnsi="Arial" w:cs="Latha"/>
      <w:lang w:val="en-US" w:eastAsia="en-US" w:bidi="ta-IN"/>
    </w:rPr>
  </w:style>
  <w:style w:type="character" w:styleId="EndnoteReference">
    <w:name w:val="endnote reference"/>
    <w:basedOn w:val="DefaultParagraphFont"/>
    <w:rsid w:val="00EA68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7376afc06ef46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945</ap:Words>
  <ap:Characters>3993</ap:Characters>
  <ap:Application>Microsoft Office Word</ap:Application>
  <ap:DocSecurity>0</ap:DocSecurity>
  <ap:Lines>63</ap:Lines>
  <ap:Paragraphs>11</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4927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35</dc:title>
  <dc:subject/>
  <dc:creator>David Waterson</dc:creator>
  <cp:keywords/>
  <dc:description/>
  <cp:lastModifiedBy>David Waterson</cp:lastModifiedBy>
  <cp:revision>3</cp:revision>
  <dcterms:created xsi:type="dcterms:W3CDTF">2019-08-04T14:23:00Z</dcterms:created>
  <dcterms:modified xsi:type="dcterms:W3CDTF">2019-08-04T14:24:00Z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35.docx</vt:lpwstr>
  </property>
  <property fmtid="{D5CDD505-2E9C-101B-9397-08002B2CF9AE}" pid="9" name="_TranslationDocumentId">
    <vt:i4>19482</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4035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35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