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6ACA" w:rsidRDefault="00DC6ACA" w:rsidP="00DC6ACA">
      <w:pPr>
        <w:rPr>
          <w:rFonts w:eastAsia="Segoe UI" w:cs="Arial"/>
        </w:rPr>
      </w:pPr>
      <w:bookmarkStart w:id="0" w:name="_GoBack"/>
      <w:bookmarkEnd w:id="0"/>
      <w:r>
        <w:rPr>
          <w:rFonts w:eastAsia="Segoe UI" w:cs="Arial"/>
          <w:b/>
        </w:rPr>
        <w:t xml:space="preserve">36:1 </w:t>
      </w:r>
      <w:r>
        <w:rPr>
          <w:rFonts w:eastAsia="Segoe UI" w:cs="Arial"/>
        </w:rPr>
        <w:t>The family heads of the descendants of Gil′e·ad the son of Ma′chir</w:t>
      </w:r>
      <w:r w:rsidR="00077FDC">
        <w:rPr>
          <w:rStyle w:val="EndnoteReference"/>
          <w:rFonts w:eastAsia="Segoe UI" w:cs="Arial"/>
        </w:rPr>
        <w:endnoteReference w:id="1"/>
      </w:r>
      <w:r>
        <w:rPr>
          <w:rFonts w:eastAsia="Segoe UI" w:cs="Arial"/>
        </w:rPr>
        <w:t xml:space="preserve"> the son of Ma·nas′seh of the families of the sons of Joseph approached and spoke before Moses and the chieftains, the family heads of the Israelites. </w:t>
      </w:r>
      <w:r>
        <w:rPr>
          <w:rFonts w:eastAsia="Segoe UI" w:cs="Arial"/>
          <w:b/>
        </w:rPr>
        <w:t xml:space="preserve">2 </w:t>
      </w:r>
      <w:r>
        <w:rPr>
          <w:rFonts w:eastAsia="Segoe UI" w:cs="Arial"/>
        </w:rPr>
        <w:t>They said: “Jehovah commanded my lord to distribute the land by lot</w:t>
      </w:r>
      <w:r w:rsidR="00077FDC">
        <w:rPr>
          <w:rStyle w:val="EndnoteReference"/>
          <w:rFonts w:eastAsia="Segoe UI" w:cs="Arial"/>
        </w:rPr>
        <w:endnoteReference w:id="2"/>
      </w:r>
      <w:r>
        <w:rPr>
          <w:rFonts w:eastAsia="Segoe UI" w:cs="Arial"/>
        </w:rPr>
        <w:t xml:space="preserve"> as an inheritance to the Israelites; and my lord was commanded by Jehovah to give the inheritance of our brother Ze·lo′phe·had to his daughters.</w:t>
      </w:r>
      <w:r w:rsidR="00077FDC">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 xml:space="preserve">If they marry men from another Israelite tribe, the women’s inheritance will also be withdrawn from the inheritance of our fathers and be added to the inheritance of the tribe to which they would then belong, so that it would be withdrawn from the lot of our inheritance. </w:t>
      </w:r>
      <w:r>
        <w:rPr>
          <w:rFonts w:eastAsia="Segoe UI" w:cs="Arial"/>
          <w:b/>
        </w:rPr>
        <w:t xml:space="preserve">4 </w:t>
      </w:r>
      <w:r>
        <w:rPr>
          <w:rFonts w:eastAsia="Segoe UI" w:cs="Arial"/>
        </w:rPr>
        <w:t>Now when the Jubilee</w:t>
      </w:r>
      <w:r w:rsidR="00077FDC">
        <w:rPr>
          <w:rStyle w:val="EndnoteReference"/>
          <w:rFonts w:eastAsia="Segoe UI" w:cs="Arial"/>
        </w:rPr>
        <w:endnoteReference w:id="4"/>
      </w:r>
      <w:r>
        <w:rPr>
          <w:rFonts w:eastAsia="Segoe UI" w:cs="Arial"/>
        </w:rPr>
        <w:t xml:space="preserve"> takes place for the people of Israel, the women’s inheritance will also be added to the inheritance of the tribe to which they then belong, so that their inheritance would be withdrawn from the inheritance of the tribe of our fathers.”</w:t>
      </w:r>
    </w:p>
    <w:p w:rsidR="00DC6ACA" w:rsidRDefault="00DC6ACA" w:rsidP="00DC6ACA">
      <w:pPr>
        <w:rPr>
          <w:rFonts w:eastAsia="Segoe UI" w:cs="Arial"/>
        </w:rPr>
      </w:pPr>
      <w:r>
        <w:rPr>
          <w:rFonts w:eastAsia="Segoe UI" w:cs="Arial"/>
          <w:b/>
        </w:rPr>
        <w:t xml:space="preserve">5 </w:t>
      </w:r>
      <w:r>
        <w:rPr>
          <w:rFonts w:eastAsia="Segoe UI" w:cs="Arial"/>
        </w:rPr>
        <w:t xml:space="preserve">Then Moses commanded the Israelites at the order of Jehovah: “What the tribe of the sons of Joseph is saying is correct. </w:t>
      </w:r>
      <w:r>
        <w:rPr>
          <w:rFonts w:eastAsia="Segoe UI" w:cs="Arial"/>
          <w:b/>
        </w:rPr>
        <w:t xml:space="preserve">6 </w:t>
      </w:r>
      <w:r>
        <w:rPr>
          <w:rFonts w:eastAsia="Segoe UI" w:cs="Arial"/>
        </w:rPr>
        <w:t xml:space="preserve">This is the word that Jehovah has commanded for the daughters of Ze·lo′phe·had: ‘They may marry whomever they wish. However, they should marry someone from a family of the tribe of their father. </w:t>
      </w:r>
      <w:r>
        <w:rPr>
          <w:rFonts w:eastAsia="Segoe UI" w:cs="Arial"/>
          <w:b/>
        </w:rPr>
        <w:t xml:space="preserve">7 </w:t>
      </w:r>
      <w:r>
        <w:rPr>
          <w:rFonts w:eastAsia="Segoe UI" w:cs="Arial"/>
        </w:rPr>
        <w:t xml:space="preserve">No inheritance of the Israelites should circulate from tribe to tribe, for the Israelites should hold on to the inheritance of the tribe of their forefathers. </w:t>
      </w:r>
      <w:r>
        <w:rPr>
          <w:rFonts w:eastAsia="Segoe UI" w:cs="Arial"/>
          <w:b/>
        </w:rPr>
        <w:t xml:space="preserve">8 </w:t>
      </w:r>
      <w:r>
        <w:rPr>
          <w:rFonts w:eastAsia="Segoe UI" w:cs="Arial"/>
        </w:rPr>
        <w:t>And every daughter who possesses an inheritance among the tribes of Israel should become a wife of a descendant of her father’s tribe,</w:t>
      </w:r>
      <w:r w:rsidR="00077FDC">
        <w:rPr>
          <w:rStyle w:val="EndnoteReference"/>
          <w:rFonts w:eastAsia="Segoe UI" w:cs="Arial"/>
        </w:rPr>
        <w:endnoteReference w:id="5"/>
      </w:r>
      <w:r>
        <w:rPr>
          <w:rFonts w:eastAsia="Segoe UI" w:cs="Arial"/>
        </w:rPr>
        <w:t xml:space="preserve"> so that the Israelites may keep possession of the inheritance of their forefathers. </w:t>
      </w:r>
      <w:r>
        <w:rPr>
          <w:rFonts w:eastAsia="Segoe UI" w:cs="Arial"/>
          <w:b/>
        </w:rPr>
        <w:t xml:space="preserve">9 </w:t>
      </w:r>
      <w:r>
        <w:rPr>
          <w:rFonts w:eastAsia="Segoe UI" w:cs="Arial"/>
        </w:rPr>
        <w:t>No inheritance should circulate from one tribe to another tribe, for the tribes of Israel should hold on to their own inheritance.’”</w:t>
      </w:r>
    </w:p>
    <w:p w:rsidR="00DC6ACA" w:rsidRDefault="00DC6ACA" w:rsidP="00DC6ACA">
      <w:pPr>
        <w:rPr>
          <w:rFonts w:eastAsia="Segoe UI" w:cs="Arial"/>
        </w:rPr>
      </w:pPr>
      <w:r>
        <w:rPr>
          <w:rFonts w:eastAsia="Segoe UI" w:cs="Arial"/>
          <w:b/>
        </w:rPr>
        <w:t xml:space="preserve">10 </w:t>
      </w:r>
      <w:r>
        <w:rPr>
          <w:rFonts w:eastAsia="Segoe UI" w:cs="Arial"/>
        </w:rPr>
        <w:t>The daughters of Ze·lo′phe·had did just as Jehovah had commanded Moses.</w:t>
      </w:r>
      <w:r w:rsidR="00077FDC">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11 </w:t>
      </w:r>
      <w:r>
        <w:rPr>
          <w:rFonts w:eastAsia="Segoe UI" w:cs="Arial"/>
        </w:rPr>
        <w:t>So Mah′lah, Tir′zah, Hog′lah, Mil′cah, and Noah, the daughters of Ze·lo′phe·had,</w:t>
      </w:r>
      <w:r w:rsidR="00077FDC">
        <w:rPr>
          <w:rStyle w:val="EndnoteReference"/>
          <w:rFonts w:eastAsia="Segoe UI" w:cs="Arial"/>
        </w:rPr>
        <w:endnoteReference w:id="7"/>
      </w:r>
      <w:r>
        <w:rPr>
          <w:rFonts w:eastAsia="Segoe UI" w:cs="Arial"/>
        </w:rPr>
        <w:t xml:space="preserve"> married the sons of their father’s brothers. </w:t>
      </w:r>
      <w:r>
        <w:rPr>
          <w:rFonts w:eastAsia="Segoe UI" w:cs="Arial"/>
          <w:b/>
        </w:rPr>
        <w:t xml:space="preserve">12 </w:t>
      </w:r>
      <w:r>
        <w:rPr>
          <w:rFonts w:eastAsia="Segoe UI" w:cs="Arial"/>
        </w:rPr>
        <w:t>They became wives of men from the families of Ma·nas′seh the son of Joseph so that their inheritance would remain in the tribe of their father’s family.</w:t>
      </w:r>
    </w:p>
    <w:p w:rsidR="00DC6ACA" w:rsidRDefault="00DC6ACA" w:rsidP="00DC6ACA">
      <w:pPr>
        <w:rPr>
          <w:rFonts w:ascii="MEPS Bookman WTS" w:eastAsia="Segoe UI" w:hAnsi="MEPS Bookman WTS" w:cs="Segoe UI"/>
        </w:rPr>
      </w:pPr>
      <w:r>
        <w:rPr>
          <w:rFonts w:eastAsia="Segoe UI" w:cs="Arial"/>
          <w:b/>
        </w:rPr>
        <w:t xml:space="preserve">13 </w:t>
      </w:r>
      <w:r>
        <w:rPr>
          <w:rFonts w:eastAsia="Segoe UI" w:cs="Arial"/>
        </w:rPr>
        <w:t>These are the commandments and the judicial decisions that Jehovah gave to the Israelites through Moses on the desert plains of Mo′ab by the Jordan at Jer′i·cho.</w:t>
      </w:r>
      <w:r w:rsidR="00077FDC">
        <w:rPr>
          <w:rStyle w:val="EndnoteReference"/>
          <w:rFonts w:eastAsia="Segoe UI" w:cs="Arial"/>
        </w:rPr>
        <w:endnoteReference w:id="8"/>
      </w:r>
    </w:p>
    <w:p w:rsidR="00762BCB" w:rsidRPr="00DC6ACA" w:rsidRDefault="00762BCB" w:rsidP="00DC6ACA"/>
    <w:sectPr w:rsidR="00762BCB" w:rsidRPr="00DC6ACA"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04E5" w:rsidRDefault="00D804E5">
      <w:r>
        <w:separator/>
      </w:r>
    </w:p>
  </w:endnote>
  <w:endnote w:type="continuationSeparator" w:id="0">
    <w:p w:rsidR="00D804E5" w:rsidRDefault="00D804E5">
      <w:r>
        <w:continuationSeparator/>
      </w:r>
    </w:p>
  </w:endnote>
  <w:endnote w:id="1">
    <w:p w:rsidR="00077FDC" w:rsidRDefault="00077FDC">
      <w:pPr>
        <w:pStyle w:val="EndnoteText"/>
      </w:pPr>
      <w:r>
        <w:rPr>
          <w:rStyle w:val="EndnoteReference"/>
        </w:rPr>
        <w:endnoteRef/>
      </w:r>
      <w:r>
        <w:t xml:space="preserve"> Numbers 26:29</w:t>
      </w:r>
    </w:p>
  </w:endnote>
  <w:endnote w:id="2">
    <w:p w:rsidR="00077FDC" w:rsidRDefault="00077FDC">
      <w:pPr>
        <w:pStyle w:val="EndnoteText"/>
      </w:pPr>
      <w:r>
        <w:rPr>
          <w:rStyle w:val="EndnoteReference"/>
        </w:rPr>
        <w:endnoteRef/>
      </w:r>
      <w:r>
        <w:t xml:space="preserve"> Numbers 26:55; 33:54</w:t>
      </w:r>
    </w:p>
  </w:endnote>
  <w:endnote w:id="3">
    <w:p w:rsidR="00077FDC" w:rsidRDefault="00077FDC">
      <w:pPr>
        <w:pStyle w:val="EndnoteText"/>
      </w:pPr>
      <w:r>
        <w:rPr>
          <w:rStyle w:val="EndnoteReference"/>
        </w:rPr>
        <w:endnoteRef/>
      </w:r>
      <w:r>
        <w:t xml:space="preserve"> Numbers 27:1-7</w:t>
      </w:r>
    </w:p>
  </w:endnote>
  <w:endnote w:id="4">
    <w:p w:rsidR="00077FDC" w:rsidRDefault="00077FDC">
      <w:pPr>
        <w:pStyle w:val="EndnoteText"/>
      </w:pPr>
      <w:r>
        <w:rPr>
          <w:rStyle w:val="EndnoteReference"/>
        </w:rPr>
        <w:endnoteRef/>
      </w:r>
      <w:r>
        <w:t xml:space="preserve"> Leviticus 25:10</w:t>
      </w:r>
    </w:p>
  </w:endnote>
  <w:endnote w:id="5">
    <w:p w:rsidR="00077FDC" w:rsidRDefault="00077FDC">
      <w:pPr>
        <w:pStyle w:val="EndnoteText"/>
      </w:pPr>
      <w:r>
        <w:rPr>
          <w:rStyle w:val="EndnoteReference"/>
        </w:rPr>
        <w:endnoteRef/>
      </w:r>
      <w:r>
        <w:t xml:space="preserve"> 1 Chronicles 23:22</w:t>
      </w:r>
    </w:p>
  </w:endnote>
  <w:endnote w:id="6">
    <w:p w:rsidR="00077FDC" w:rsidRDefault="00077FDC">
      <w:pPr>
        <w:pStyle w:val="EndnoteText"/>
      </w:pPr>
      <w:r>
        <w:rPr>
          <w:rStyle w:val="EndnoteReference"/>
        </w:rPr>
        <w:endnoteRef/>
      </w:r>
      <w:r>
        <w:t xml:space="preserve"> Numbers 36:6</w:t>
      </w:r>
    </w:p>
  </w:endnote>
  <w:endnote w:id="7">
    <w:p w:rsidR="00077FDC" w:rsidRDefault="00077FDC">
      <w:pPr>
        <w:pStyle w:val="EndnoteText"/>
      </w:pPr>
      <w:r>
        <w:rPr>
          <w:rStyle w:val="EndnoteReference"/>
        </w:rPr>
        <w:endnoteRef/>
      </w:r>
      <w:r>
        <w:t xml:space="preserve"> Numbers 27:1</w:t>
      </w:r>
    </w:p>
  </w:endnote>
  <w:endnote w:id="8">
    <w:p w:rsidR="00077FDC" w:rsidRDefault="00077FDC">
      <w:pPr>
        <w:pStyle w:val="EndnoteText"/>
      </w:pPr>
      <w:r>
        <w:rPr>
          <w:rStyle w:val="EndnoteReference"/>
        </w:rPr>
        <w:endnoteRef/>
      </w:r>
      <w:r>
        <w:t xml:space="preserve"> Numbers 26:3; 33:50; 35:1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04E5" w:rsidRDefault="00D804E5">
      <w:r>
        <w:separator/>
      </w:r>
    </w:p>
  </w:footnote>
  <w:footnote w:type="continuationSeparator" w:id="0">
    <w:p w:rsidR="00D804E5" w:rsidRDefault="00D804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077FD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077FDC">
        <w:t>Numbers Chapter 36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077FDC">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77FDC">
      <w:rPr>
        <w:noProof/>
        <w:snapToGrid w:val="0"/>
      </w:rPr>
      <w:t>Numbers 36.Advisor.docx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077FDC">
        <w:t>Numbers Chapter 36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077FDC">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77FDC">
      <w:rPr>
        <w:noProof/>
        <w:snapToGrid w:val="0"/>
      </w:rPr>
      <w:t>Numbers 36.Advisor.docx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077FD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077FDC">
      <w:t>&lt;not set&gt;</w:t>
    </w:r>
    <w:r>
      <w:fldChar w:fldCharType="end"/>
    </w:r>
    <w:r>
      <w:tab/>
      <w:t xml:space="preserve">Checker: </w:t>
    </w:r>
    <w:r>
      <w:fldChar w:fldCharType="begin"/>
    </w:r>
    <w:r>
      <w:instrText xml:space="preserve"> DOCPROPERTY "_RoleChecker" </w:instrText>
    </w:r>
    <w:r>
      <w:fldChar w:fldCharType="separate"/>
    </w:r>
    <w:r w:rsidR="00077FD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077FD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4E5"/>
    <w:rsid w:val="00077FDC"/>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804E5"/>
    <w:rsid w:val="00DA0FE2"/>
    <w:rsid w:val="00DC6ACA"/>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e188c15a8a8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EndnoteText">
    <w:name w:val="endnote text"/>
    <w:basedOn w:val="Normal"/>
    <w:link w:val="EndnoteTextChar"/>
    <w:rsid w:val="00077FDC"/>
    <w:pPr>
      <w:spacing w:line="240" w:lineRule="auto"/>
    </w:pPr>
    <w:rPr>
      <w:sz w:val="20"/>
      <w:szCs w:val="20"/>
    </w:rPr>
  </w:style>
  <w:style w:type="character" w:customStyle="1" w:styleId="EndnoteTextChar">
    <w:name w:val="Endnote Text Char"/>
    <w:basedOn w:val="DefaultParagraphFont"/>
    <w:link w:val="EndnoteText"/>
    <w:rsid w:val="00077FDC"/>
    <w:rPr>
      <w:rFonts w:ascii="Arial" w:eastAsia="Times New Roman" w:hAnsi="Arial" w:cs="Latha"/>
      <w:lang w:val="en-US" w:eastAsia="en-US" w:bidi="ta-IN"/>
    </w:rPr>
  </w:style>
  <w:style w:type="character" w:styleId="EndnoteReference">
    <w:name w:val="endnote reference"/>
    <w:basedOn w:val="DefaultParagraphFont"/>
    <w:rsid w:val="00077FD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EndnoteText">
    <w:name w:val="endnote text"/>
    <w:basedOn w:val="Normal"/>
    <w:link w:val="EndnoteTextChar"/>
    <w:rsid w:val="00077FDC"/>
    <w:pPr>
      <w:spacing w:line="240" w:lineRule="auto"/>
    </w:pPr>
    <w:rPr>
      <w:sz w:val="20"/>
      <w:szCs w:val="20"/>
    </w:rPr>
  </w:style>
  <w:style w:type="character" w:customStyle="1" w:styleId="EndnoteTextChar">
    <w:name w:val="Endnote Text Char"/>
    <w:basedOn w:val="DefaultParagraphFont"/>
    <w:link w:val="EndnoteText"/>
    <w:rsid w:val="00077FDC"/>
    <w:rPr>
      <w:rFonts w:ascii="Arial" w:eastAsia="Times New Roman" w:hAnsi="Arial" w:cs="Latha"/>
      <w:lang w:val="en-US" w:eastAsia="en-US" w:bidi="ta-IN"/>
    </w:rPr>
  </w:style>
  <w:style w:type="character" w:styleId="EndnoteReference">
    <w:name w:val="endnote reference"/>
    <w:basedOn w:val="DefaultParagraphFont"/>
    <w:rsid w:val="00077F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e188c15a8a846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402</ap:Words>
  <ap:Characters>1939</ap:Characters>
  <ap:Application>Microsoft Office Word</ap:Application>
  <ap:DocSecurity>0</ap:DocSecurity>
  <ap:Lines>31</ap:Lines>
  <ap:Paragraphs>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2337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36</dc:title>
  <dc:subject/>
  <dc:creator>David Waterson</dc:creator>
  <cp:keywords/>
  <dc:description/>
  <cp:lastModifiedBy>David Waterson</cp:lastModifiedBy>
  <cp:revision>3</cp:revision>
  <dcterms:created xsi:type="dcterms:W3CDTF">2019-08-04T14:24:00Z</dcterms:created>
  <dcterms:modified xsi:type="dcterms:W3CDTF">2019-08-04T14:24:00Z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36.docx</vt:lpwstr>
  </property>
  <property fmtid="{D5CDD505-2E9C-101B-9397-08002B2CF9AE}" pid="9" name="_TranslationDocumentId">
    <vt:i4>19483</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4036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36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