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805" w:rsidRDefault="00EA3805" w:rsidP="00EA3805">
      <w:pPr>
        <w:rPr>
          <w:rFonts w:eastAsia="Segoe UI" w:cs="Arial"/>
        </w:rPr>
      </w:pPr>
      <w:bookmarkStart w:id="0" w:name="_GoBack"/>
      <w:bookmarkEnd w:id="0"/>
      <w:r>
        <w:rPr>
          <w:rFonts w:eastAsia="Segoe UI" w:cs="Arial"/>
          <w:b/>
        </w:rPr>
        <w:t xml:space="preserve">3:1 </w:t>
      </w:r>
      <w:r>
        <w:rPr>
          <w:rFonts w:eastAsia="Segoe UI" w:cs="Arial"/>
        </w:rPr>
        <w:t>“Then we turned and went up by way of Ba′shan. And Og, the king of Ba′shan, came out with all his people to meet us in battle at Ed′re·i.</w:t>
      </w:r>
      <w:r w:rsidR="00BF36E6">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 xml:space="preserve">So Jehovah said to me, ‘Do not be afraid of him, for I will give him and all his people and his land into your hand, and you will do to him just as you did to Si′hon the king of the Am′or·ites, who lived in Hesh′bon.’ </w:t>
      </w:r>
      <w:r>
        <w:rPr>
          <w:rFonts w:eastAsia="Segoe UI" w:cs="Arial"/>
          <w:b/>
        </w:rPr>
        <w:t xml:space="preserve">3 </w:t>
      </w:r>
      <w:r>
        <w:rPr>
          <w:rFonts w:eastAsia="Segoe UI" w:cs="Arial"/>
        </w:rPr>
        <w:t xml:space="preserve">So Jehovah our God also gave King Og of Ba′shan and all his people into our hand, and we kept striking him down until none of his people survived. </w:t>
      </w:r>
      <w:r>
        <w:rPr>
          <w:rFonts w:eastAsia="Segoe UI" w:cs="Arial"/>
          <w:b/>
        </w:rPr>
        <w:t xml:space="preserve">4 </w:t>
      </w:r>
      <w:r>
        <w:rPr>
          <w:rFonts w:eastAsia="Segoe UI" w:cs="Arial"/>
        </w:rPr>
        <w:t>We then captured all his cities. There was no town that we did not take from them—60 cities, all the region of Ar′gob, the kingdom of Og in Ba′shan.</w:t>
      </w:r>
      <w:r w:rsidR="00BF36E6">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5 </w:t>
      </w:r>
      <w:r>
        <w:rPr>
          <w:rFonts w:eastAsia="Segoe UI" w:cs="Arial"/>
        </w:rPr>
        <w:t xml:space="preserve">All these cities were fortified with high walls, gates, and bars, along with a great number of rural towns. </w:t>
      </w:r>
      <w:r>
        <w:rPr>
          <w:rFonts w:eastAsia="Segoe UI" w:cs="Arial"/>
          <w:b/>
        </w:rPr>
        <w:t xml:space="preserve">6 </w:t>
      </w:r>
      <w:r>
        <w:rPr>
          <w:rFonts w:eastAsia="Segoe UI" w:cs="Arial"/>
        </w:rPr>
        <w:t>However, we devoted them to destruction,</w:t>
      </w:r>
      <w:r w:rsidR="00BF36E6">
        <w:rPr>
          <w:rStyle w:val="EndnoteReference"/>
          <w:rFonts w:eastAsia="Segoe UI" w:cs="Arial"/>
        </w:rPr>
        <w:endnoteReference w:id="3"/>
      </w:r>
      <w:r>
        <w:rPr>
          <w:rFonts w:eastAsia="Segoe UI" w:cs="Arial"/>
        </w:rPr>
        <w:t xml:space="preserve"> just as we had done to King Si′hon of Hesh′bon, in devoting every city to destruction, including men, women, and children.</w:t>
      </w:r>
      <w:r w:rsidR="00BF36E6">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7 </w:t>
      </w:r>
      <w:r>
        <w:rPr>
          <w:rFonts w:eastAsia="Segoe UI" w:cs="Arial"/>
        </w:rPr>
        <w:t>And we took all the livestock and the spoil of the cities for ourselves.</w:t>
      </w:r>
    </w:p>
    <w:p w:rsidR="00EA3805" w:rsidRDefault="00EA3805" w:rsidP="00EA3805">
      <w:pPr>
        <w:rPr>
          <w:rFonts w:eastAsia="Segoe UI" w:cs="Arial"/>
        </w:rPr>
      </w:pPr>
      <w:r>
        <w:rPr>
          <w:rFonts w:eastAsia="Segoe UI" w:cs="Arial"/>
          <w:b/>
        </w:rPr>
        <w:t xml:space="preserve">8 </w:t>
      </w:r>
      <w:r>
        <w:rPr>
          <w:rFonts w:eastAsia="Segoe UI" w:cs="Arial"/>
        </w:rPr>
        <w:t>“At that time we seized the land of the two Am′or·ite kings</w:t>
      </w:r>
      <w:r w:rsidR="00BF36E6">
        <w:rPr>
          <w:rStyle w:val="EndnoteReference"/>
          <w:rFonts w:eastAsia="Segoe UI" w:cs="Arial"/>
        </w:rPr>
        <w:endnoteReference w:id="5"/>
      </w:r>
      <w:r>
        <w:rPr>
          <w:rFonts w:eastAsia="Segoe UI" w:cs="Arial"/>
        </w:rPr>
        <w:t xml:space="preserve"> who were in the region of the Jordan, from the Ar′non Valley</w:t>
      </w:r>
      <w:r w:rsidR="00BF36E6">
        <w:rPr>
          <w:rStyle w:val="FootnoteReference"/>
          <w:rFonts w:eastAsia="Segoe UI" w:cs="Arial"/>
        </w:rPr>
        <w:footnoteReference w:id="1"/>
      </w:r>
      <w:r>
        <w:rPr>
          <w:rFonts w:eastAsia="Segoe UI" w:cs="Arial"/>
        </w:rPr>
        <w:t xml:space="preserve"> as far as Mount Her′mon</w:t>
      </w:r>
      <w:r w:rsidR="00BF36E6">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9 </w:t>
      </w:r>
      <w:r>
        <w:rPr>
          <w:rFonts w:eastAsia="Segoe UI" w:cs="Arial"/>
        </w:rPr>
        <w:t xml:space="preserve">(the mountain that the Si·do′ni·ans used to call Sir′i·on and the Am′or·ites used to call Se′nir), </w:t>
      </w:r>
      <w:r>
        <w:rPr>
          <w:rFonts w:eastAsia="Segoe UI" w:cs="Arial"/>
          <w:b/>
        </w:rPr>
        <w:t xml:space="preserve">10 </w:t>
      </w:r>
      <w:r>
        <w:rPr>
          <w:rFonts w:eastAsia="Segoe UI" w:cs="Arial"/>
        </w:rPr>
        <w:t>all the cities of the tableland,</w:t>
      </w:r>
      <w:r w:rsidR="00BF36E6">
        <w:rPr>
          <w:rStyle w:val="FootnoteReference"/>
          <w:rFonts w:eastAsia="Segoe UI" w:cs="Arial"/>
        </w:rPr>
        <w:footnoteReference w:id="2"/>
      </w:r>
      <w:r>
        <w:rPr>
          <w:rFonts w:eastAsia="Segoe UI" w:cs="Arial"/>
        </w:rPr>
        <w:t xml:space="preserve"> all Gil′e·ad, and all Ba′shan as far as Sal′e·cah and Ed′re·i,</w:t>
      </w:r>
      <w:r w:rsidR="00BF36E6">
        <w:rPr>
          <w:rStyle w:val="EndnoteReference"/>
          <w:rFonts w:eastAsia="Segoe UI" w:cs="Arial"/>
        </w:rPr>
        <w:endnoteReference w:id="7"/>
      </w:r>
      <w:r>
        <w:rPr>
          <w:rFonts w:eastAsia="Segoe UI" w:cs="Arial"/>
        </w:rPr>
        <w:t xml:space="preserve"> the cities of the kingdom that belonged to Og in Ba′shan. </w:t>
      </w:r>
      <w:r>
        <w:rPr>
          <w:rFonts w:eastAsia="Segoe UI" w:cs="Arial"/>
          <w:b/>
        </w:rPr>
        <w:t xml:space="preserve">11 </w:t>
      </w:r>
      <w:r>
        <w:rPr>
          <w:rFonts w:eastAsia="Segoe UI" w:cs="Arial"/>
        </w:rPr>
        <w:t>For King Og of Ba′shan was the last remaining one of the Reph′a·im. His bier</w:t>
      </w:r>
      <w:r w:rsidR="00BF36E6">
        <w:rPr>
          <w:rStyle w:val="FootnoteReference"/>
          <w:rFonts w:eastAsia="Segoe UI" w:cs="Arial"/>
        </w:rPr>
        <w:footnoteReference w:id="3"/>
      </w:r>
      <w:r>
        <w:rPr>
          <w:rFonts w:eastAsia="Segoe UI" w:cs="Arial"/>
        </w:rPr>
        <w:t xml:space="preserve"> was made of iron,</w:t>
      </w:r>
      <w:r w:rsidR="00BF36E6">
        <w:rPr>
          <w:rStyle w:val="FootnoteReference"/>
          <w:rFonts w:eastAsia="Segoe UI" w:cs="Arial"/>
        </w:rPr>
        <w:footnoteReference w:id="4"/>
      </w:r>
      <w:r>
        <w:rPr>
          <w:rFonts w:eastAsia="Segoe UI" w:cs="Arial"/>
        </w:rPr>
        <w:t xml:space="preserve"> and it is still in Rab′bah of the Am′mon·ites. It is nine cubits</w:t>
      </w:r>
      <w:r w:rsidR="00BF36E6">
        <w:rPr>
          <w:rStyle w:val="FootnoteReference"/>
          <w:rFonts w:eastAsia="Segoe UI" w:cs="Arial"/>
        </w:rPr>
        <w:footnoteReference w:id="5"/>
      </w:r>
      <w:r>
        <w:rPr>
          <w:rFonts w:eastAsia="Segoe UI" w:cs="Arial"/>
        </w:rPr>
        <w:t xml:space="preserve"> long and four cubits wide, by the standard cubit. </w:t>
      </w:r>
      <w:r>
        <w:rPr>
          <w:rFonts w:eastAsia="Segoe UI" w:cs="Arial"/>
          <w:b/>
        </w:rPr>
        <w:t xml:space="preserve">12 </w:t>
      </w:r>
      <w:r>
        <w:rPr>
          <w:rFonts w:eastAsia="Segoe UI" w:cs="Arial"/>
        </w:rPr>
        <w:t>At that time we took possession of this land: from A·ro′er,</w:t>
      </w:r>
      <w:r w:rsidR="00BF36E6">
        <w:rPr>
          <w:rStyle w:val="EndnoteReference"/>
          <w:rFonts w:eastAsia="Segoe UI" w:cs="Arial"/>
        </w:rPr>
        <w:endnoteReference w:id="8"/>
      </w:r>
      <w:r>
        <w:rPr>
          <w:rFonts w:eastAsia="Segoe UI" w:cs="Arial"/>
        </w:rPr>
        <w:t xml:space="preserve"> which is by the Ar′non Valley,</w:t>
      </w:r>
      <w:r w:rsidR="00BF36E6">
        <w:rPr>
          <w:rStyle w:val="FootnoteReference"/>
          <w:rFonts w:eastAsia="Segoe UI" w:cs="Arial"/>
        </w:rPr>
        <w:footnoteReference w:id="6"/>
      </w:r>
      <w:r>
        <w:rPr>
          <w:rFonts w:eastAsia="Segoe UI" w:cs="Arial"/>
        </w:rPr>
        <w:t xml:space="preserve"> and half of the mountainous region of Gil′e·ad, and I have given its cities to the Reu′ben·ites and the Gad′ites.</w:t>
      </w:r>
      <w:r w:rsidR="00BF36E6">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13 </w:t>
      </w:r>
      <w:r>
        <w:rPr>
          <w:rFonts w:eastAsia="Segoe UI" w:cs="Arial"/>
        </w:rPr>
        <w:t>And the rest of Gil′e·ad and all Ba′shan of the kingdom of Og I have given to the half tribe of Ma·nas′seh.</w:t>
      </w:r>
      <w:r w:rsidR="00BF36E6">
        <w:rPr>
          <w:rStyle w:val="EndnoteReference"/>
          <w:rFonts w:eastAsia="Segoe UI" w:cs="Arial"/>
        </w:rPr>
        <w:endnoteReference w:id="10"/>
      </w:r>
      <w:r>
        <w:rPr>
          <w:rFonts w:eastAsia="Segoe UI" w:cs="Arial"/>
        </w:rPr>
        <w:t xml:space="preserve"> All the region of Ar′gob, which belongs to Ba′shan, was known as the land of the Reph′a·im.</w:t>
      </w:r>
    </w:p>
    <w:p w:rsidR="00EA3805" w:rsidRDefault="00EA3805" w:rsidP="00EA3805">
      <w:pPr>
        <w:rPr>
          <w:rFonts w:ascii="MEPS Bookman WTS" w:eastAsia="Segoe UI" w:hAnsi="MEPS Bookman WTS" w:cs="Segoe UI"/>
        </w:rPr>
      </w:pPr>
      <w:r>
        <w:rPr>
          <w:rFonts w:eastAsia="Segoe UI" w:cs="Arial"/>
          <w:b/>
        </w:rPr>
        <w:t xml:space="preserve">14 </w:t>
      </w:r>
      <w:r>
        <w:rPr>
          <w:rFonts w:eastAsia="Segoe UI" w:cs="Arial"/>
        </w:rPr>
        <w:t>“Ja′ir</w:t>
      </w:r>
      <w:r w:rsidR="00BF36E6">
        <w:rPr>
          <w:rStyle w:val="EndnoteReference"/>
          <w:rFonts w:eastAsia="Segoe UI" w:cs="Arial"/>
        </w:rPr>
        <w:endnoteReference w:id="11"/>
      </w:r>
      <w:r>
        <w:rPr>
          <w:rFonts w:eastAsia="Segoe UI" w:cs="Arial"/>
        </w:rPr>
        <w:t xml:space="preserve"> the son of Ma·nas′seh took all the region of Ar′gob</w:t>
      </w:r>
      <w:r w:rsidR="00BF36E6">
        <w:rPr>
          <w:rStyle w:val="EndnoteReference"/>
          <w:rFonts w:eastAsia="Segoe UI" w:cs="Arial"/>
        </w:rPr>
        <w:endnoteReference w:id="12"/>
      </w:r>
      <w:r>
        <w:rPr>
          <w:rFonts w:eastAsia="Segoe UI" w:cs="Arial"/>
        </w:rPr>
        <w:t xml:space="preserve"> as far as the boundary of the Gesh′ur·ites and the Ma·ac′a·thites</w:t>
      </w:r>
      <w:r w:rsidR="00BF36E6">
        <w:rPr>
          <w:rStyle w:val="EndnoteReference"/>
          <w:rFonts w:eastAsia="Segoe UI" w:cs="Arial"/>
        </w:rPr>
        <w:endnoteReference w:id="13"/>
      </w:r>
      <w:r>
        <w:rPr>
          <w:rFonts w:eastAsia="Segoe UI" w:cs="Arial"/>
        </w:rPr>
        <w:t xml:space="preserve"> and named those villages of Bashan after himself, Hav′voth-ja′ir,</w:t>
      </w:r>
      <w:r w:rsidR="00BF36E6">
        <w:rPr>
          <w:rStyle w:val="FootnoteReference"/>
          <w:rFonts w:eastAsia="Segoe UI" w:cs="Arial"/>
        </w:rPr>
        <w:footnoteReference w:id="7"/>
      </w:r>
      <w:r w:rsidR="00BF36E6">
        <w:rPr>
          <w:rStyle w:val="EndnoteReference"/>
          <w:rFonts w:eastAsia="Segoe UI" w:cs="Arial"/>
        </w:rPr>
        <w:endnoteReference w:id="14"/>
      </w:r>
      <w:r>
        <w:rPr>
          <w:rFonts w:eastAsia="Segoe UI" w:cs="Arial"/>
        </w:rPr>
        <w:t xml:space="preserve"> to this day. </w:t>
      </w:r>
      <w:r>
        <w:rPr>
          <w:rFonts w:eastAsia="Segoe UI" w:cs="Arial"/>
          <w:b/>
        </w:rPr>
        <w:t xml:space="preserve">15 </w:t>
      </w:r>
      <w:r>
        <w:rPr>
          <w:rFonts w:eastAsia="Segoe UI" w:cs="Arial"/>
        </w:rPr>
        <w:t>And I have given Gil′e·ad to Ma′chir.</w:t>
      </w:r>
      <w:r w:rsidR="00BF36E6">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16 </w:t>
      </w:r>
      <w:r>
        <w:rPr>
          <w:rFonts w:eastAsia="Segoe UI" w:cs="Arial"/>
        </w:rPr>
        <w:t>And to the Reu′ben·ites and the Gad′ites,</w:t>
      </w:r>
      <w:r w:rsidR="00BF36E6">
        <w:rPr>
          <w:rStyle w:val="EndnoteReference"/>
          <w:rFonts w:eastAsia="Segoe UI" w:cs="Arial"/>
        </w:rPr>
        <w:endnoteReference w:id="16"/>
      </w:r>
      <w:r>
        <w:rPr>
          <w:rFonts w:eastAsia="Segoe UI" w:cs="Arial"/>
        </w:rPr>
        <w:t xml:space="preserve"> I have given from Gil′e·ad to the Ar′non Valley,</w:t>
      </w:r>
      <w:r w:rsidR="00BF36E6">
        <w:rPr>
          <w:rStyle w:val="FootnoteReference"/>
          <w:rFonts w:eastAsia="Segoe UI" w:cs="Arial"/>
        </w:rPr>
        <w:footnoteReference w:id="8"/>
      </w:r>
      <w:r>
        <w:rPr>
          <w:rFonts w:eastAsia="Segoe UI" w:cs="Arial"/>
        </w:rPr>
        <w:t xml:space="preserve"> with the middle of the valley as a boundary, and as far as Jab′bok, the valley that is the boundary of the Am′mon·ites, </w:t>
      </w:r>
      <w:r>
        <w:rPr>
          <w:rFonts w:eastAsia="Segoe UI" w:cs="Arial"/>
          <w:b/>
        </w:rPr>
        <w:t xml:space="preserve">17 </w:t>
      </w:r>
      <w:r>
        <w:rPr>
          <w:rFonts w:eastAsia="Segoe UI" w:cs="Arial"/>
        </w:rPr>
        <w:t>and the Ar′a·bah and the Jordan and the border, from Chin′ne·reth to the Sea of the Ar′a·bah, the Salt Sea,</w:t>
      </w:r>
      <w:r w:rsidR="00BF36E6">
        <w:rPr>
          <w:rStyle w:val="FootnoteReference"/>
          <w:rFonts w:eastAsia="Segoe UI" w:cs="Arial"/>
        </w:rPr>
        <w:footnoteReference w:id="9"/>
      </w:r>
      <w:r>
        <w:rPr>
          <w:rFonts w:eastAsia="Segoe UI" w:cs="Arial"/>
        </w:rPr>
        <w:t xml:space="preserve"> at the base of the slopes of Pis′gah toward the east.</w:t>
      </w:r>
      <w:r w:rsidR="00BF36E6">
        <w:rPr>
          <w:rStyle w:val="EndnoteReference"/>
          <w:rFonts w:eastAsia="Segoe UI" w:cs="Arial"/>
        </w:rPr>
        <w:endnoteReference w:id="17"/>
      </w:r>
    </w:p>
    <w:p w:rsidR="00EA3805" w:rsidRDefault="00EA3805" w:rsidP="00EA3805">
      <w:pPr>
        <w:rPr>
          <w:rFonts w:ascii="MEPS Bookman WTS" w:eastAsia="Segoe UI" w:hAnsi="MEPS Bookman WTS" w:cs="Segoe UI"/>
        </w:rPr>
      </w:pPr>
      <w:r>
        <w:rPr>
          <w:rFonts w:eastAsia="Segoe UI" w:cs="Arial"/>
          <w:b/>
        </w:rPr>
        <w:t xml:space="preserve">18 </w:t>
      </w:r>
      <w:r>
        <w:rPr>
          <w:rFonts w:eastAsia="Segoe UI" w:cs="Arial"/>
        </w:rPr>
        <w:t>“I then gave you this command: ‘Jehovah your God has given you this land to take possession of it. All your valiant men will take up arms and cross over before your brothers, the Israelites.</w:t>
      </w:r>
      <w:r w:rsidR="00BF36E6">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19 </w:t>
      </w:r>
      <w:r>
        <w:rPr>
          <w:rFonts w:eastAsia="Segoe UI" w:cs="Arial"/>
        </w:rPr>
        <w:t xml:space="preserve">Only your wives, your children, and your livestock (I well know that you have a great deal of livestock) will continue dwelling in the cities that I have given you, </w:t>
      </w:r>
      <w:r>
        <w:rPr>
          <w:rFonts w:eastAsia="Segoe UI" w:cs="Arial"/>
          <w:b/>
        </w:rPr>
        <w:t xml:space="preserve">20 </w:t>
      </w:r>
      <w:r>
        <w:rPr>
          <w:rFonts w:eastAsia="Segoe UI" w:cs="Arial"/>
        </w:rPr>
        <w:t>until Jehovah gives your brothers rest, as he does for you, and they also have taken possession of the land that Jehovah your God will give them across the Jordan. Then you will come back, each one to his possession that I have given you.’</w:t>
      </w:r>
      <w:r w:rsidR="00BF36E6">
        <w:rPr>
          <w:rStyle w:val="EndnoteReference"/>
          <w:rFonts w:eastAsia="Segoe UI" w:cs="Arial"/>
        </w:rPr>
        <w:endnoteReference w:id="19"/>
      </w:r>
    </w:p>
    <w:p w:rsidR="00EA3805" w:rsidRDefault="00EA3805" w:rsidP="00EA3805">
      <w:pPr>
        <w:rPr>
          <w:rFonts w:ascii="MEPS Bookman WTS" w:eastAsia="Segoe UI" w:hAnsi="MEPS Bookman WTS" w:cs="Segoe UI"/>
        </w:rPr>
      </w:pPr>
      <w:r>
        <w:rPr>
          <w:rFonts w:eastAsia="Segoe UI" w:cs="Arial"/>
          <w:b/>
        </w:rPr>
        <w:t xml:space="preserve">21 </w:t>
      </w:r>
      <w:r>
        <w:rPr>
          <w:rFonts w:eastAsia="Segoe UI" w:cs="Arial"/>
        </w:rPr>
        <w:t>“At that time I gave this command to Joshua:</w:t>
      </w:r>
      <w:r w:rsidR="00BF36E6">
        <w:rPr>
          <w:rStyle w:val="EndnoteReference"/>
          <w:rFonts w:eastAsia="Segoe UI" w:cs="Arial"/>
        </w:rPr>
        <w:endnoteReference w:id="20"/>
      </w:r>
      <w:r>
        <w:rPr>
          <w:rFonts w:eastAsia="Segoe UI" w:cs="Arial"/>
        </w:rPr>
        <w:t xml:space="preserve"> ‘You have seen with your own eyes what Jehovah your God has done to these two kings. Jehovah will do the same thing to all the kingdoms into which you will cross over.</w:t>
      </w:r>
      <w:r w:rsidR="00BF36E6">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22 </w:t>
      </w:r>
      <w:r>
        <w:rPr>
          <w:rFonts w:eastAsia="Segoe UI" w:cs="Arial"/>
        </w:rPr>
        <w:t>You must not be afraid of them, for Jehovah your God is the one fighting for you.’</w:t>
      </w:r>
      <w:r w:rsidR="00BF36E6">
        <w:rPr>
          <w:rStyle w:val="EndnoteReference"/>
          <w:rFonts w:eastAsia="Segoe UI" w:cs="Arial"/>
        </w:rPr>
        <w:endnoteReference w:id="22"/>
      </w:r>
    </w:p>
    <w:p w:rsidR="00EA3805" w:rsidRDefault="00EA3805" w:rsidP="00EA3805">
      <w:pPr>
        <w:rPr>
          <w:rFonts w:ascii="MEPS Bookman WTS" w:eastAsia="Segoe UI" w:hAnsi="MEPS Bookman WTS" w:cs="Segoe UI"/>
        </w:rPr>
      </w:pPr>
      <w:r>
        <w:rPr>
          <w:rFonts w:eastAsia="Segoe UI" w:cs="Arial"/>
          <w:b/>
        </w:rPr>
        <w:t xml:space="preserve">23 </w:t>
      </w:r>
      <w:r>
        <w:rPr>
          <w:rFonts w:eastAsia="Segoe UI" w:cs="Arial"/>
        </w:rPr>
        <w:t xml:space="preserve">“At that time I pleaded with Jehovah, saying, </w:t>
      </w:r>
      <w:r>
        <w:rPr>
          <w:rFonts w:eastAsia="Segoe UI" w:cs="Arial"/>
          <w:b/>
        </w:rPr>
        <w:t xml:space="preserve">24 </w:t>
      </w:r>
      <w:r>
        <w:rPr>
          <w:rFonts w:eastAsia="Segoe UI" w:cs="Arial"/>
        </w:rPr>
        <w:t>‘O Sovereign Lord Jehovah, you have begun to show your servant your greatness and your mighty arm,</w:t>
      </w:r>
      <w:r w:rsidR="00BF36E6">
        <w:rPr>
          <w:rStyle w:val="EndnoteReference"/>
          <w:rFonts w:eastAsia="Segoe UI" w:cs="Arial"/>
        </w:rPr>
        <w:endnoteReference w:id="23"/>
      </w:r>
      <w:r>
        <w:rPr>
          <w:rFonts w:eastAsia="Segoe UI" w:cs="Arial"/>
        </w:rPr>
        <w:t xml:space="preserve"> for what god in the heavens or on the earth performs such mighty deeds as you?</w:t>
      </w:r>
      <w:r w:rsidR="00BF36E6">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25 </w:t>
      </w:r>
      <w:r>
        <w:rPr>
          <w:rFonts w:eastAsia="Segoe UI" w:cs="Arial"/>
        </w:rPr>
        <w:t>Please let me pass over and see the good land that is across the Jordan, this good mountainous region and Leb′a·non.’</w:t>
      </w:r>
      <w:r w:rsidR="00BF36E6">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26 </w:t>
      </w:r>
      <w:r>
        <w:rPr>
          <w:rFonts w:eastAsia="Segoe UI" w:cs="Arial"/>
        </w:rPr>
        <w:t>But Jehovah was still furious with me because of you,</w:t>
      </w:r>
      <w:r w:rsidR="00BF36E6">
        <w:rPr>
          <w:rStyle w:val="EndnoteReference"/>
          <w:rFonts w:eastAsia="Segoe UI" w:cs="Arial"/>
        </w:rPr>
        <w:endnoteReference w:id="26"/>
      </w:r>
      <w:r>
        <w:rPr>
          <w:rFonts w:eastAsia="Segoe UI" w:cs="Arial"/>
        </w:rPr>
        <w:t xml:space="preserve"> and he would not listen to me. Rather, Jehovah said to me, ‘Enough from you! Never speak to me again about this matter. </w:t>
      </w:r>
      <w:r>
        <w:rPr>
          <w:rFonts w:eastAsia="Segoe UI" w:cs="Arial"/>
          <w:b/>
        </w:rPr>
        <w:t xml:space="preserve">27 </w:t>
      </w:r>
      <w:r>
        <w:rPr>
          <w:rFonts w:eastAsia="Segoe UI" w:cs="Arial"/>
        </w:rPr>
        <w:t>Go up to the top of Pis′gah,</w:t>
      </w:r>
      <w:r w:rsidR="00BF36E6">
        <w:rPr>
          <w:rStyle w:val="EndnoteReference"/>
          <w:rFonts w:eastAsia="Segoe UI" w:cs="Arial"/>
        </w:rPr>
        <w:endnoteReference w:id="27"/>
      </w:r>
      <w:r>
        <w:rPr>
          <w:rFonts w:eastAsia="Segoe UI" w:cs="Arial"/>
        </w:rPr>
        <w:t xml:space="preserve"> and look to the west and north and south and east and view the land with your eyes, for you will not cross over this Jordan.</w:t>
      </w:r>
      <w:r w:rsidR="00BF36E6">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28 </w:t>
      </w:r>
      <w:r>
        <w:rPr>
          <w:rFonts w:eastAsia="Segoe UI" w:cs="Arial"/>
        </w:rPr>
        <w:t>Commission Joshua</w:t>
      </w:r>
      <w:r w:rsidR="00BF36E6">
        <w:rPr>
          <w:rStyle w:val="EndnoteReference"/>
          <w:rFonts w:eastAsia="Segoe UI" w:cs="Arial"/>
        </w:rPr>
        <w:endnoteReference w:id="29"/>
      </w:r>
      <w:r>
        <w:rPr>
          <w:rFonts w:eastAsia="Segoe UI" w:cs="Arial"/>
        </w:rPr>
        <w:t xml:space="preserve"> and encourage him and strengthen him, because he is the one who will cross over</w:t>
      </w:r>
      <w:r w:rsidR="00BF36E6">
        <w:rPr>
          <w:rStyle w:val="EndnoteReference"/>
          <w:rFonts w:eastAsia="Segoe UI" w:cs="Arial"/>
        </w:rPr>
        <w:endnoteReference w:id="30"/>
      </w:r>
      <w:r>
        <w:rPr>
          <w:rFonts w:eastAsia="Segoe UI" w:cs="Arial"/>
        </w:rPr>
        <w:t xml:space="preserve"> before this people and he is the one who will cause them to inherit the land that you will see.’ </w:t>
      </w:r>
      <w:r>
        <w:rPr>
          <w:rFonts w:eastAsia="Segoe UI" w:cs="Arial"/>
          <w:b/>
        </w:rPr>
        <w:t xml:space="preserve">29 </w:t>
      </w:r>
      <w:r>
        <w:rPr>
          <w:rFonts w:eastAsia="Segoe UI" w:cs="Arial"/>
        </w:rPr>
        <w:t>All this happened while we were dwelling in the valley in front of Beth-pe′or.</w:t>
      </w:r>
      <w:r w:rsidR="00BF36E6">
        <w:rPr>
          <w:rStyle w:val="EndnoteReference"/>
          <w:rFonts w:eastAsia="Segoe UI" w:cs="Arial"/>
        </w:rPr>
        <w:endnoteReference w:id="31"/>
      </w:r>
    </w:p>
    <w:p w:rsidR="00762BCB" w:rsidRPr="00EA3805" w:rsidRDefault="00762BCB" w:rsidP="00EA3805"/>
    <w:sectPr w:rsidR="00762BCB" w:rsidRPr="00EA380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31FF" w:rsidRDefault="00A931FF">
      <w:r>
        <w:separator/>
      </w:r>
    </w:p>
  </w:endnote>
  <w:endnote w:type="continuationSeparator" w:id="0">
    <w:p w:rsidR="00A931FF" w:rsidRDefault="00A931FF">
      <w:r>
        <w:continuationSeparator/>
      </w:r>
    </w:p>
  </w:endnote>
  <w:endnote w:id="1">
    <w:p w:rsidR="00BF36E6" w:rsidRDefault="00BF36E6">
      <w:pPr>
        <w:pStyle w:val="EndnoteText"/>
      </w:pPr>
      <w:r>
        <w:rPr>
          <w:rStyle w:val="EndnoteReference"/>
        </w:rPr>
        <w:endnoteRef/>
      </w:r>
      <w:r>
        <w:t xml:space="preserve"> Numbers 21:33-35</w:t>
      </w:r>
    </w:p>
  </w:endnote>
  <w:endnote w:id="2">
    <w:p w:rsidR="00BF36E6" w:rsidRDefault="00BF36E6">
      <w:pPr>
        <w:pStyle w:val="EndnoteText"/>
      </w:pPr>
      <w:r>
        <w:rPr>
          <w:rStyle w:val="EndnoteReference"/>
        </w:rPr>
        <w:endnoteRef/>
      </w:r>
      <w:r>
        <w:t xml:space="preserve"> Numbers 32:33; Deuteronomy 29:7, 8; Joshua 13:29, 30</w:t>
      </w:r>
    </w:p>
  </w:endnote>
  <w:endnote w:id="3">
    <w:p w:rsidR="00BF36E6" w:rsidRDefault="00BF36E6">
      <w:pPr>
        <w:pStyle w:val="EndnoteText"/>
      </w:pPr>
      <w:r>
        <w:rPr>
          <w:rStyle w:val="EndnoteReference"/>
        </w:rPr>
        <w:endnoteRef/>
      </w:r>
      <w:r>
        <w:t xml:space="preserve"> Leviticus 27:29</w:t>
      </w:r>
    </w:p>
  </w:endnote>
  <w:endnote w:id="4">
    <w:p w:rsidR="00BF36E6" w:rsidRDefault="00BF36E6">
      <w:pPr>
        <w:pStyle w:val="EndnoteText"/>
      </w:pPr>
      <w:r>
        <w:rPr>
          <w:rStyle w:val="EndnoteReference"/>
        </w:rPr>
        <w:endnoteRef/>
      </w:r>
      <w:r>
        <w:t xml:space="preserve"> Leviticus 18:25</w:t>
      </w:r>
    </w:p>
  </w:endnote>
  <w:endnote w:id="5">
    <w:p w:rsidR="00BF36E6" w:rsidRDefault="00BF36E6">
      <w:pPr>
        <w:pStyle w:val="EndnoteText"/>
      </w:pPr>
      <w:r>
        <w:rPr>
          <w:rStyle w:val="EndnoteReference"/>
        </w:rPr>
        <w:endnoteRef/>
      </w:r>
      <w:r>
        <w:t xml:space="preserve"> Numbers 32:33</w:t>
      </w:r>
    </w:p>
  </w:endnote>
  <w:endnote w:id="6">
    <w:p w:rsidR="00BF36E6" w:rsidRDefault="00BF36E6">
      <w:pPr>
        <w:pStyle w:val="EndnoteText"/>
      </w:pPr>
      <w:r>
        <w:rPr>
          <w:rStyle w:val="EndnoteReference"/>
        </w:rPr>
        <w:endnoteRef/>
      </w:r>
      <w:r>
        <w:t xml:space="preserve"> Joshua 12:1, 2</w:t>
      </w:r>
    </w:p>
  </w:endnote>
  <w:endnote w:id="7">
    <w:p w:rsidR="00BF36E6" w:rsidRDefault="00BF36E6">
      <w:pPr>
        <w:pStyle w:val="EndnoteText"/>
      </w:pPr>
      <w:r>
        <w:rPr>
          <w:rStyle w:val="EndnoteReference"/>
        </w:rPr>
        <w:endnoteRef/>
      </w:r>
      <w:r>
        <w:t xml:space="preserve"> Numbers 21:33</w:t>
      </w:r>
    </w:p>
  </w:endnote>
  <w:endnote w:id="8">
    <w:p w:rsidR="00BF36E6" w:rsidRDefault="00BF36E6">
      <w:pPr>
        <w:pStyle w:val="EndnoteText"/>
      </w:pPr>
      <w:r>
        <w:rPr>
          <w:rStyle w:val="EndnoteReference"/>
        </w:rPr>
        <w:endnoteRef/>
      </w:r>
      <w:r>
        <w:t xml:space="preserve"> Numbers 32:34</w:t>
      </w:r>
    </w:p>
  </w:endnote>
  <w:endnote w:id="9">
    <w:p w:rsidR="00BF36E6" w:rsidRDefault="00BF36E6">
      <w:pPr>
        <w:pStyle w:val="EndnoteText"/>
      </w:pPr>
      <w:r>
        <w:rPr>
          <w:rStyle w:val="EndnoteReference"/>
        </w:rPr>
        <w:endnoteRef/>
      </w:r>
      <w:r>
        <w:t xml:space="preserve"> Numbers 32:33</w:t>
      </w:r>
    </w:p>
  </w:endnote>
  <w:endnote w:id="10">
    <w:p w:rsidR="00BF36E6" w:rsidRDefault="00BF36E6">
      <w:pPr>
        <w:pStyle w:val="EndnoteText"/>
      </w:pPr>
      <w:r>
        <w:rPr>
          <w:rStyle w:val="EndnoteReference"/>
        </w:rPr>
        <w:endnoteRef/>
      </w:r>
      <w:r>
        <w:t xml:space="preserve"> Numbers 32:39; Joshua 13:29-31; 1 Chronicles 5:23</w:t>
      </w:r>
    </w:p>
  </w:endnote>
  <w:endnote w:id="11">
    <w:p w:rsidR="00BF36E6" w:rsidRDefault="00BF36E6">
      <w:pPr>
        <w:pStyle w:val="EndnoteText"/>
      </w:pPr>
      <w:r>
        <w:rPr>
          <w:rStyle w:val="EndnoteReference"/>
        </w:rPr>
        <w:endnoteRef/>
      </w:r>
      <w:r>
        <w:t xml:space="preserve"> 1 Chronicles 2:22</w:t>
      </w:r>
    </w:p>
  </w:endnote>
  <w:endnote w:id="12">
    <w:p w:rsidR="00BF36E6" w:rsidRDefault="00BF36E6">
      <w:pPr>
        <w:pStyle w:val="EndnoteText"/>
      </w:pPr>
      <w:r>
        <w:rPr>
          <w:rStyle w:val="EndnoteReference"/>
        </w:rPr>
        <w:endnoteRef/>
      </w:r>
      <w:r>
        <w:t xml:space="preserve"> Deuteronomy 3:4</w:t>
      </w:r>
    </w:p>
  </w:endnote>
  <w:endnote w:id="13">
    <w:p w:rsidR="00BF36E6" w:rsidRDefault="00BF36E6">
      <w:pPr>
        <w:pStyle w:val="EndnoteText"/>
      </w:pPr>
      <w:r>
        <w:rPr>
          <w:rStyle w:val="EndnoteReference"/>
        </w:rPr>
        <w:endnoteRef/>
      </w:r>
      <w:r>
        <w:t xml:space="preserve"> Joshua 13:13</w:t>
      </w:r>
    </w:p>
  </w:endnote>
  <w:endnote w:id="14">
    <w:p w:rsidR="00BF36E6" w:rsidRDefault="00BF36E6">
      <w:pPr>
        <w:pStyle w:val="EndnoteText"/>
      </w:pPr>
      <w:r>
        <w:rPr>
          <w:rStyle w:val="EndnoteReference"/>
        </w:rPr>
        <w:endnoteRef/>
      </w:r>
      <w:r>
        <w:t xml:space="preserve"> Numbers 32:40, 41</w:t>
      </w:r>
    </w:p>
  </w:endnote>
  <w:endnote w:id="15">
    <w:p w:rsidR="00BF36E6" w:rsidRDefault="00BF36E6">
      <w:pPr>
        <w:pStyle w:val="EndnoteText"/>
      </w:pPr>
      <w:r>
        <w:rPr>
          <w:rStyle w:val="EndnoteReference"/>
        </w:rPr>
        <w:endnoteRef/>
      </w:r>
      <w:r>
        <w:t xml:space="preserve"> Numbers 32:39; Joshua 17:1</w:t>
      </w:r>
    </w:p>
  </w:endnote>
  <w:endnote w:id="16">
    <w:p w:rsidR="00BF36E6" w:rsidRDefault="00BF36E6">
      <w:pPr>
        <w:pStyle w:val="EndnoteText"/>
      </w:pPr>
      <w:r>
        <w:rPr>
          <w:rStyle w:val="EndnoteReference"/>
        </w:rPr>
        <w:endnoteRef/>
      </w:r>
      <w:r>
        <w:t xml:space="preserve"> Numbers 32:33; Joshua 22:9</w:t>
      </w:r>
    </w:p>
  </w:endnote>
  <w:endnote w:id="17">
    <w:p w:rsidR="00BF36E6" w:rsidRDefault="00BF36E6">
      <w:pPr>
        <w:pStyle w:val="EndnoteText"/>
      </w:pPr>
      <w:r>
        <w:rPr>
          <w:rStyle w:val="EndnoteReference"/>
        </w:rPr>
        <w:endnoteRef/>
      </w:r>
      <w:r>
        <w:t xml:space="preserve"> Numbers 34:11, 12</w:t>
      </w:r>
    </w:p>
  </w:endnote>
  <w:endnote w:id="18">
    <w:p w:rsidR="00BF36E6" w:rsidRDefault="00BF36E6">
      <w:pPr>
        <w:pStyle w:val="EndnoteText"/>
      </w:pPr>
      <w:r>
        <w:rPr>
          <w:rStyle w:val="EndnoteReference"/>
        </w:rPr>
        <w:endnoteRef/>
      </w:r>
      <w:r>
        <w:t xml:space="preserve"> Numbers 32:20-22</w:t>
      </w:r>
    </w:p>
  </w:endnote>
  <w:endnote w:id="19">
    <w:p w:rsidR="00BF36E6" w:rsidRDefault="00BF36E6">
      <w:pPr>
        <w:pStyle w:val="EndnoteText"/>
      </w:pPr>
      <w:r>
        <w:rPr>
          <w:rStyle w:val="EndnoteReference"/>
        </w:rPr>
        <w:endnoteRef/>
      </w:r>
      <w:r>
        <w:t xml:space="preserve"> Joshua 1:14, 15; 22:4, 8</w:t>
      </w:r>
    </w:p>
  </w:endnote>
  <w:endnote w:id="20">
    <w:p w:rsidR="00BF36E6" w:rsidRDefault="00BF36E6">
      <w:pPr>
        <w:pStyle w:val="EndnoteText"/>
      </w:pPr>
      <w:r>
        <w:rPr>
          <w:rStyle w:val="EndnoteReference"/>
        </w:rPr>
        <w:endnoteRef/>
      </w:r>
      <w:r>
        <w:t xml:space="preserve"> Numbers 11:28; 14:30; 27:18</w:t>
      </w:r>
    </w:p>
  </w:endnote>
  <w:endnote w:id="21">
    <w:p w:rsidR="00BF36E6" w:rsidRDefault="00BF36E6">
      <w:pPr>
        <w:pStyle w:val="EndnoteText"/>
      </w:pPr>
      <w:r>
        <w:rPr>
          <w:rStyle w:val="EndnoteReference"/>
        </w:rPr>
        <w:endnoteRef/>
      </w:r>
      <w:r>
        <w:t xml:space="preserve"> Joshua 10:25</w:t>
      </w:r>
    </w:p>
  </w:endnote>
  <w:endnote w:id="22">
    <w:p w:rsidR="00BF36E6" w:rsidRDefault="00BF36E6">
      <w:pPr>
        <w:pStyle w:val="EndnoteText"/>
      </w:pPr>
      <w:r>
        <w:rPr>
          <w:rStyle w:val="EndnoteReference"/>
        </w:rPr>
        <w:endnoteRef/>
      </w:r>
      <w:r>
        <w:t xml:space="preserve"> Exodus 14:14; 15:3; Deuteronomy 1:30; 20:4; Joshua 10:42</w:t>
      </w:r>
    </w:p>
  </w:endnote>
  <w:endnote w:id="23">
    <w:p w:rsidR="00BF36E6" w:rsidRDefault="00BF36E6">
      <w:pPr>
        <w:pStyle w:val="EndnoteText"/>
      </w:pPr>
      <w:r>
        <w:rPr>
          <w:rStyle w:val="EndnoteReference"/>
        </w:rPr>
        <w:endnoteRef/>
      </w:r>
      <w:r>
        <w:t xml:space="preserve"> Exodus 15:16; Deuteronomy 11:2</w:t>
      </w:r>
    </w:p>
  </w:endnote>
  <w:endnote w:id="24">
    <w:p w:rsidR="00BF36E6" w:rsidRDefault="00BF36E6">
      <w:pPr>
        <w:pStyle w:val="EndnoteText"/>
      </w:pPr>
      <w:r>
        <w:rPr>
          <w:rStyle w:val="EndnoteReference"/>
        </w:rPr>
        <w:endnoteRef/>
      </w:r>
      <w:r>
        <w:t xml:space="preserve"> Exodus 15:11; 2 Samuel 7:22; 1 Kings 8:23; Psalms 86:8; Jeremiah 10:6, 7</w:t>
      </w:r>
    </w:p>
  </w:endnote>
  <w:endnote w:id="25">
    <w:p w:rsidR="00BF36E6" w:rsidRDefault="00BF36E6">
      <w:pPr>
        <w:pStyle w:val="EndnoteText"/>
      </w:pPr>
      <w:r>
        <w:rPr>
          <w:rStyle w:val="EndnoteReference"/>
        </w:rPr>
        <w:endnoteRef/>
      </w:r>
      <w:r>
        <w:t xml:space="preserve"> Exodus 3:8; Deuteronomy 1:7; 11:11, 12</w:t>
      </w:r>
    </w:p>
  </w:endnote>
  <w:endnote w:id="26">
    <w:p w:rsidR="00BF36E6" w:rsidRDefault="00BF36E6">
      <w:pPr>
        <w:pStyle w:val="EndnoteText"/>
      </w:pPr>
      <w:r>
        <w:rPr>
          <w:rStyle w:val="EndnoteReference"/>
        </w:rPr>
        <w:endnoteRef/>
      </w:r>
      <w:r>
        <w:t xml:space="preserve"> Numbers 20:12; 27:13, 14; Deuteronomy 4:21; Psalms 106:32</w:t>
      </w:r>
    </w:p>
  </w:endnote>
  <w:endnote w:id="27">
    <w:p w:rsidR="00BF36E6" w:rsidRDefault="00BF36E6">
      <w:pPr>
        <w:pStyle w:val="EndnoteText"/>
      </w:pPr>
      <w:r>
        <w:rPr>
          <w:rStyle w:val="EndnoteReference"/>
        </w:rPr>
        <w:endnoteRef/>
      </w:r>
      <w:r>
        <w:t xml:space="preserve"> Numbers 27:12</w:t>
      </w:r>
    </w:p>
  </w:endnote>
  <w:endnote w:id="28">
    <w:p w:rsidR="00BF36E6" w:rsidRDefault="00BF36E6">
      <w:pPr>
        <w:pStyle w:val="EndnoteText"/>
      </w:pPr>
      <w:r>
        <w:rPr>
          <w:rStyle w:val="EndnoteReference"/>
        </w:rPr>
        <w:endnoteRef/>
      </w:r>
      <w:r>
        <w:t xml:space="preserve"> Deuteronomy 34:1, 4</w:t>
      </w:r>
    </w:p>
  </w:endnote>
  <w:endnote w:id="29">
    <w:p w:rsidR="00BF36E6" w:rsidRDefault="00BF36E6">
      <w:pPr>
        <w:pStyle w:val="EndnoteText"/>
      </w:pPr>
      <w:r>
        <w:rPr>
          <w:rStyle w:val="EndnoteReference"/>
        </w:rPr>
        <w:endnoteRef/>
      </w:r>
      <w:r>
        <w:t xml:space="preserve"> Numbers 27:18-20; Deuteronomy 1:38; 31:7</w:t>
      </w:r>
    </w:p>
  </w:endnote>
  <w:endnote w:id="30">
    <w:p w:rsidR="00BF36E6" w:rsidRDefault="00BF36E6">
      <w:pPr>
        <w:pStyle w:val="EndnoteText"/>
      </w:pPr>
      <w:r>
        <w:rPr>
          <w:rStyle w:val="EndnoteReference"/>
        </w:rPr>
        <w:endnoteRef/>
      </w:r>
      <w:r>
        <w:t xml:space="preserve"> Joshua 1:1, 2</w:t>
      </w:r>
    </w:p>
  </w:endnote>
  <w:endnote w:id="31">
    <w:p w:rsidR="00BF36E6" w:rsidRDefault="00BF36E6">
      <w:pPr>
        <w:pStyle w:val="EndnoteText"/>
      </w:pPr>
      <w:r>
        <w:rPr>
          <w:rStyle w:val="EndnoteReference"/>
        </w:rPr>
        <w:endnoteRef/>
      </w:r>
      <w:r>
        <w:t xml:space="preserve"> Deuteronomy 4:45, 46; 34:5, 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31FF" w:rsidRDefault="00A931FF">
      <w:r>
        <w:separator/>
      </w:r>
    </w:p>
  </w:footnote>
  <w:footnote w:type="continuationSeparator" w:id="0">
    <w:p w:rsidR="00A931FF" w:rsidRDefault="00A931FF">
      <w:r>
        <w:continuationSeparator/>
      </w:r>
    </w:p>
  </w:footnote>
  <w:footnote w:id="1">
    <w:p w:rsidR="00BF36E6" w:rsidRDefault="00BF36E6">
      <w:pPr>
        <w:pStyle w:val="FootnoteText"/>
      </w:pPr>
      <w:r>
        <w:rPr>
          <w:rStyle w:val="FootnoteReference"/>
        </w:rPr>
        <w:footnoteRef/>
      </w:r>
      <w:r>
        <w:t xml:space="preserve"> </w:t>
      </w:r>
      <w:r>
        <w:t>Or “Wadi Arnon.”</w:t>
      </w:r>
    </w:p>
  </w:footnote>
  <w:footnote w:id="2">
    <w:p w:rsidR="00BF36E6" w:rsidRDefault="00BF36E6">
      <w:pPr>
        <w:pStyle w:val="FootnoteText"/>
      </w:pPr>
      <w:r>
        <w:rPr>
          <w:rStyle w:val="FootnoteReference"/>
        </w:rPr>
        <w:footnoteRef/>
      </w:r>
      <w:r>
        <w:t xml:space="preserve"> </w:t>
      </w:r>
      <w:r>
        <w:t>Or “plateau.”</w:t>
      </w:r>
    </w:p>
  </w:footnote>
  <w:footnote w:id="3">
    <w:p w:rsidR="00BF36E6" w:rsidRDefault="00BF36E6">
      <w:pPr>
        <w:pStyle w:val="FootnoteText"/>
      </w:pPr>
      <w:r>
        <w:rPr>
          <w:rStyle w:val="FootnoteReference"/>
        </w:rPr>
        <w:footnoteRef/>
      </w:r>
      <w:r>
        <w:t xml:space="preserve"> </w:t>
      </w:r>
      <w:r>
        <w:t>Or “sarcophagus; coffin.”</w:t>
      </w:r>
    </w:p>
  </w:footnote>
  <w:footnote w:id="4">
    <w:p w:rsidR="00BF36E6" w:rsidRDefault="00BF36E6">
      <w:pPr>
        <w:pStyle w:val="FootnoteText"/>
      </w:pPr>
      <w:r>
        <w:rPr>
          <w:rStyle w:val="FootnoteReference"/>
        </w:rPr>
        <w:footnoteRef/>
      </w:r>
      <w:r>
        <w:t xml:space="preserve"> </w:t>
      </w:r>
      <w:r>
        <w:t>Or possibly, “black basalt.”</w:t>
      </w:r>
    </w:p>
  </w:footnote>
  <w:footnote w:id="5">
    <w:p w:rsidR="00BF36E6" w:rsidRDefault="00BF36E6">
      <w:pPr>
        <w:pStyle w:val="FootnoteText"/>
      </w:pPr>
      <w:r>
        <w:rPr>
          <w:rStyle w:val="FootnoteReference"/>
        </w:rPr>
        <w:footnoteRef/>
      </w:r>
      <w:r>
        <w:t xml:space="preserve"> </w:t>
      </w:r>
      <w:r>
        <w:t>A cubit equaled 44.5 cm (17.5 in.). See App. B14.</w:t>
      </w:r>
    </w:p>
  </w:footnote>
  <w:footnote w:id="6">
    <w:p w:rsidR="00BF36E6" w:rsidRDefault="00BF36E6">
      <w:pPr>
        <w:pStyle w:val="FootnoteText"/>
      </w:pPr>
      <w:r>
        <w:rPr>
          <w:rStyle w:val="FootnoteReference"/>
        </w:rPr>
        <w:footnoteRef/>
      </w:r>
      <w:r>
        <w:t xml:space="preserve"> </w:t>
      </w:r>
      <w:r>
        <w:t>Or “Wadi Arnon.”</w:t>
      </w:r>
    </w:p>
  </w:footnote>
  <w:footnote w:id="7">
    <w:p w:rsidR="00BF36E6" w:rsidRDefault="00BF36E6">
      <w:pPr>
        <w:pStyle w:val="FootnoteText"/>
      </w:pPr>
      <w:r>
        <w:rPr>
          <w:rStyle w:val="FootnoteReference"/>
        </w:rPr>
        <w:footnoteRef/>
      </w:r>
      <w:r>
        <w:t xml:space="preserve"> </w:t>
      </w:r>
      <w:r>
        <w:t>Meaning “Tent Villages of Jair.”</w:t>
      </w:r>
    </w:p>
  </w:footnote>
  <w:footnote w:id="8">
    <w:p w:rsidR="00BF36E6" w:rsidRDefault="00BF36E6">
      <w:pPr>
        <w:pStyle w:val="FootnoteText"/>
      </w:pPr>
      <w:r>
        <w:rPr>
          <w:rStyle w:val="FootnoteReference"/>
        </w:rPr>
        <w:footnoteRef/>
      </w:r>
      <w:r>
        <w:t xml:space="preserve"> </w:t>
      </w:r>
      <w:r>
        <w:t>Or “Wadi Arnon.”</w:t>
      </w:r>
    </w:p>
  </w:footnote>
  <w:footnote w:id="9">
    <w:p w:rsidR="00BF36E6" w:rsidRDefault="00BF36E6">
      <w:pPr>
        <w:pStyle w:val="FootnoteText"/>
      </w:pPr>
      <w:r>
        <w:rPr>
          <w:rStyle w:val="FootnoteReference"/>
        </w:rPr>
        <w:footnoteRef/>
      </w:r>
      <w:r>
        <w:t xml:space="preserve"> </w:t>
      </w:r>
      <w:r>
        <w:t>That is, the Dead Sea.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BF36E6">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BF36E6">
        <w:t>Deuteronomy Chapter 3</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BF36E6">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F36E6">
      <w:rPr>
        <w:noProof/>
        <w:snapToGrid w:val="0"/>
      </w:rPr>
      <w:t>Deuteronomy 03.Advisor.docx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BF36E6">
        <w:t>Deuteronomy Chapter 3</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BF36E6">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F36E6">
      <w:rPr>
        <w:noProof/>
        <w:snapToGrid w:val="0"/>
      </w:rPr>
      <w:t>Deuteronomy 03.Advisor.docx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BF36E6">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BF36E6">
      <w:t>&lt;not set&gt;</w:t>
    </w:r>
    <w:r>
      <w:fldChar w:fldCharType="end"/>
    </w:r>
    <w:r>
      <w:tab/>
      <w:t xml:space="preserve">Checker: </w:t>
    </w:r>
    <w:r>
      <w:fldChar w:fldCharType="begin"/>
    </w:r>
    <w:r>
      <w:instrText xml:space="preserve"> DOCPROPERTY "_RoleChecker" </w:instrText>
    </w:r>
    <w:r>
      <w:fldChar w:fldCharType="separate"/>
    </w:r>
    <w:r w:rsidR="00BF36E6">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BF36E6">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1FF"/>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931FF"/>
    <w:rsid w:val="00AA09DB"/>
    <w:rsid w:val="00B87B77"/>
    <w:rsid w:val="00BC4A6C"/>
    <w:rsid w:val="00BD6AB0"/>
    <w:rsid w:val="00BF36E6"/>
    <w:rsid w:val="00C37E6E"/>
    <w:rsid w:val="00C810DC"/>
    <w:rsid w:val="00C92D5F"/>
    <w:rsid w:val="00CA2E7C"/>
    <w:rsid w:val="00D066FD"/>
    <w:rsid w:val="00D36E44"/>
    <w:rsid w:val="00D41195"/>
    <w:rsid w:val="00D67FE7"/>
    <w:rsid w:val="00D75449"/>
    <w:rsid w:val="00DA0FE2"/>
    <w:rsid w:val="00DE253C"/>
    <w:rsid w:val="00EA2DE5"/>
    <w:rsid w:val="00EA380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4787028aa1b34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F36E6"/>
    <w:pPr>
      <w:spacing w:line="240" w:lineRule="auto"/>
    </w:pPr>
    <w:rPr>
      <w:sz w:val="20"/>
      <w:szCs w:val="20"/>
    </w:rPr>
  </w:style>
  <w:style w:type="character" w:customStyle="1" w:styleId="FootnoteTextChar">
    <w:name w:val="Footnote Text Char"/>
    <w:basedOn w:val="DefaultParagraphFont"/>
    <w:link w:val="FootnoteText"/>
    <w:rsid w:val="00BF36E6"/>
    <w:rPr>
      <w:rFonts w:ascii="Arial" w:eastAsia="Times New Roman" w:hAnsi="Arial" w:cs="Latha"/>
      <w:lang w:val="en-US" w:eastAsia="en-US" w:bidi="ta-IN"/>
    </w:rPr>
  </w:style>
  <w:style w:type="character" w:styleId="FootnoteReference">
    <w:name w:val="footnote reference"/>
    <w:basedOn w:val="DefaultParagraphFont"/>
    <w:rsid w:val="00BF36E6"/>
    <w:rPr>
      <w:vertAlign w:val="superscript"/>
    </w:rPr>
  </w:style>
  <w:style w:type="paragraph" w:styleId="EndnoteText">
    <w:name w:val="endnote text"/>
    <w:basedOn w:val="Normal"/>
    <w:link w:val="EndnoteTextChar"/>
    <w:rsid w:val="00BF36E6"/>
    <w:pPr>
      <w:spacing w:line="240" w:lineRule="auto"/>
    </w:pPr>
    <w:rPr>
      <w:sz w:val="20"/>
      <w:szCs w:val="20"/>
    </w:rPr>
  </w:style>
  <w:style w:type="character" w:customStyle="1" w:styleId="EndnoteTextChar">
    <w:name w:val="Endnote Text Char"/>
    <w:basedOn w:val="DefaultParagraphFont"/>
    <w:link w:val="EndnoteText"/>
    <w:rsid w:val="00BF36E6"/>
    <w:rPr>
      <w:rFonts w:ascii="Arial" w:eastAsia="Times New Roman" w:hAnsi="Arial" w:cs="Latha"/>
      <w:lang w:val="en-US" w:eastAsia="en-US" w:bidi="ta-IN"/>
    </w:rPr>
  </w:style>
  <w:style w:type="character" w:styleId="EndnoteReference">
    <w:name w:val="endnote reference"/>
    <w:basedOn w:val="DefaultParagraphFont"/>
    <w:rsid w:val="00BF36E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F36E6"/>
    <w:pPr>
      <w:spacing w:line="240" w:lineRule="auto"/>
    </w:pPr>
    <w:rPr>
      <w:sz w:val="20"/>
      <w:szCs w:val="20"/>
    </w:rPr>
  </w:style>
  <w:style w:type="character" w:customStyle="1" w:styleId="FootnoteTextChar">
    <w:name w:val="Footnote Text Char"/>
    <w:basedOn w:val="DefaultParagraphFont"/>
    <w:link w:val="FootnoteText"/>
    <w:rsid w:val="00BF36E6"/>
    <w:rPr>
      <w:rFonts w:ascii="Arial" w:eastAsia="Times New Roman" w:hAnsi="Arial" w:cs="Latha"/>
      <w:lang w:val="en-US" w:eastAsia="en-US" w:bidi="ta-IN"/>
    </w:rPr>
  </w:style>
  <w:style w:type="character" w:styleId="FootnoteReference">
    <w:name w:val="footnote reference"/>
    <w:basedOn w:val="DefaultParagraphFont"/>
    <w:rsid w:val="00BF36E6"/>
    <w:rPr>
      <w:vertAlign w:val="superscript"/>
    </w:rPr>
  </w:style>
  <w:style w:type="paragraph" w:styleId="EndnoteText">
    <w:name w:val="endnote text"/>
    <w:basedOn w:val="Normal"/>
    <w:link w:val="EndnoteTextChar"/>
    <w:rsid w:val="00BF36E6"/>
    <w:pPr>
      <w:spacing w:line="240" w:lineRule="auto"/>
    </w:pPr>
    <w:rPr>
      <w:sz w:val="20"/>
      <w:szCs w:val="20"/>
    </w:rPr>
  </w:style>
  <w:style w:type="character" w:customStyle="1" w:styleId="EndnoteTextChar">
    <w:name w:val="Endnote Text Char"/>
    <w:basedOn w:val="DefaultParagraphFont"/>
    <w:link w:val="EndnoteText"/>
    <w:rsid w:val="00BF36E6"/>
    <w:rPr>
      <w:rFonts w:ascii="Arial" w:eastAsia="Times New Roman" w:hAnsi="Arial" w:cs="Latha"/>
      <w:lang w:val="en-US" w:eastAsia="en-US" w:bidi="ta-IN"/>
    </w:rPr>
  </w:style>
  <w:style w:type="character" w:styleId="EndnoteReference">
    <w:name w:val="endnote reference"/>
    <w:basedOn w:val="DefaultParagraphFont"/>
    <w:rsid w:val="00BF36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4787028aa1b34e1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874</ap:Words>
  <ap:Characters>3708</ap:Characters>
  <ap:Application>Microsoft Office Word</ap:Application>
  <ap:DocSecurity>0</ap:DocSecurity>
  <ap:Lines>59</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4575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3</dc:title>
  <dc:subject/>
  <dc:creator>David Waterson</dc:creator>
  <cp:keywords/>
  <dc:description/>
  <cp:lastModifiedBy>David Waterson</cp:lastModifiedBy>
  <cp:revision>3</cp:revision>
  <dcterms:created xsi:type="dcterms:W3CDTF">2019-08-04T14:25:00Z</dcterms:created>
  <dcterms:modified xsi:type="dcterms:W3CDTF">2019-08-04T14:25:00Z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03.docx</vt:lpwstr>
  </property>
  <property fmtid="{D5CDD505-2E9C-101B-9397-08002B2CF9AE}" pid="9" name="_TranslationDocumentId">
    <vt:i4>19486</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5003</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3</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