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0C39" w:rsidRDefault="00CE0C39" w:rsidP="00CE0C39">
      <w:pPr>
        <w:rPr>
          <w:rFonts w:ascii="MEPS Bookman WTS" w:eastAsia="Segoe UI" w:hAnsi="MEPS Bookman WTS" w:cs="Segoe UI"/>
        </w:rPr>
      </w:pPr>
      <w:bookmarkStart w:id="0" w:name="_GoBack"/>
      <w:bookmarkEnd w:id="0"/>
      <w:r>
        <w:rPr>
          <w:rFonts w:eastAsia="Segoe UI" w:cs="Arial"/>
          <w:b/>
        </w:rPr>
        <w:t xml:space="preserve">17:1 </w:t>
      </w:r>
      <w:r>
        <w:rPr>
          <w:rFonts w:eastAsia="Segoe UI" w:cs="Arial"/>
        </w:rPr>
        <w:t>“You must not sacrifice to Jehovah your God a bull or a sheep that has a defect or anything wrong with it, for it would be detestable to Jehovah your God.</w:t>
      </w:r>
      <w:r w:rsidR="00A7080C">
        <w:rPr>
          <w:rStyle w:val="EndnoteReference"/>
          <w:rFonts w:eastAsia="Segoe UI" w:cs="Arial"/>
        </w:rPr>
        <w:endnoteReference w:id="1"/>
      </w:r>
    </w:p>
    <w:p w:rsidR="00CE0C39" w:rsidRDefault="00CE0C39" w:rsidP="00CE0C39">
      <w:pPr>
        <w:rPr>
          <w:rFonts w:ascii="MEPS Bookman WTS" w:eastAsia="Segoe UI" w:hAnsi="MEPS Bookman WTS" w:cs="Segoe UI"/>
        </w:rPr>
      </w:pPr>
      <w:r>
        <w:rPr>
          <w:rFonts w:eastAsia="Segoe UI" w:cs="Arial"/>
          <w:b/>
        </w:rPr>
        <w:t xml:space="preserve">2 </w:t>
      </w:r>
      <w:r>
        <w:rPr>
          <w:rFonts w:eastAsia="Segoe UI" w:cs="Arial"/>
        </w:rPr>
        <w:t>“Suppose a man or a woman is found among you, in any of your cities that Jehovah your God is giving you, who is practicing what is bad in the eyes of Jehovah your God and violating his covenant,</w:t>
      </w:r>
      <w:r w:rsidR="00A7080C">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3 </w:t>
      </w:r>
      <w:r>
        <w:rPr>
          <w:rFonts w:eastAsia="Segoe UI" w:cs="Arial"/>
        </w:rPr>
        <w:t>and he goes astray and worships other gods and he bows down to them or to the sun or the moon or all the army of the heavens,</w:t>
      </w:r>
      <w:r w:rsidR="00A7080C">
        <w:rPr>
          <w:rStyle w:val="EndnoteReference"/>
          <w:rFonts w:eastAsia="Segoe UI" w:cs="Arial"/>
        </w:rPr>
        <w:endnoteReference w:id="3"/>
      </w:r>
      <w:r>
        <w:rPr>
          <w:rFonts w:eastAsia="Segoe UI" w:cs="Arial"/>
        </w:rPr>
        <w:t xml:space="preserve"> a thing that I have not commanded.</w:t>
      </w:r>
      <w:r w:rsidR="00A7080C">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4 </w:t>
      </w:r>
      <w:r>
        <w:rPr>
          <w:rFonts w:eastAsia="Segoe UI" w:cs="Arial"/>
        </w:rPr>
        <w:t>When it is reported to you or you hear about it, then you should investigate the matter thoroughly. If it is confirmed to be true</w:t>
      </w:r>
      <w:r w:rsidR="00A7080C">
        <w:rPr>
          <w:rStyle w:val="EndnoteReference"/>
          <w:rFonts w:eastAsia="Segoe UI" w:cs="Arial"/>
        </w:rPr>
        <w:endnoteReference w:id="5"/>
      </w:r>
      <w:r>
        <w:rPr>
          <w:rFonts w:eastAsia="Segoe UI" w:cs="Arial"/>
        </w:rPr>
        <w:t xml:space="preserve"> that this detestable thing has been done in Israel, </w:t>
      </w:r>
      <w:r>
        <w:rPr>
          <w:rFonts w:eastAsia="Segoe UI" w:cs="Arial"/>
          <w:b/>
        </w:rPr>
        <w:t xml:space="preserve">5 </w:t>
      </w:r>
      <w:r>
        <w:rPr>
          <w:rFonts w:eastAsia="Segoe UI" w:cs="Arial"/>
        </w:rPr>
        <w:t>you must bring the man or the woman who has done this evil thing out to the city gates, and the man or the woman must be stoned to death.</w:t>
      </w:r>
      <w:r w:rsidR="00A7080C">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6 </w:t>
      </w:r>
      <w:r>
        <w:rPr>
          <w:rFonts w:eastAsia="Segoe UI" w:cs="Arial"/>
        </w:rPr>
        <w:t>On the testimony</w:t>
      </w:r>
      <w:r w:rsidR="00A7080C">
        <w:rPr>
          <w:rStyle w:val="FootnoteReference"/>
          <w:rFonts w:eastAsia="Segoe UI" w:cs="Arial"/>
        </w:rPr>
        <w:footnoteReference w:id="1"/>
      </w:r>
      <w:r>
        <w:rPr>
          <w:rFonts w:eastAsia="Segoe UI" w:cs="Arial"/>
        </w:rPr>
        <w:t xml:space="preserve"> of two witnesses or of three witnesses</w:t>
      </w:r>
      <w:r w:rsidR="00A7080C">
        <w:rPr>
          <w:rStyle w:val="EndnoteReference"/>
          <w:rFonts w:eastAsia="Segoe UI" w:cs="Arial"/>
        </w:rPr>
        <w:endnoteReference w:id="7"/>
      </w:r>
      <w:r>
        <w:rPr>
          <w:rFonts w:eastAsia="Segoe UI" w:cs="Arial"/>
        </w:rPr>
        <w:t xml:space="preserve"> the one who is to die should be put to death. He must not be put to death on the testimony of one witness.</w:t>
      </w:r>
      <w:r w:rsidR="00A7080C">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7 </w:t>
      </w:r>
      <w:r>
        <w:rPr>
          <w:rFonts w:eastAsia="Segoe UI" w:cs="Arial"/>
        </w:rPr>
        <w:t>The hand of the witnesses should be the first to come against him to put him to death, and the hand of all the people afterward. You must remove what is bad from your midst.</w:t>
      </w:r>
      <w:r w:rsidR="00A7080C">
        <w:rPr>
          <w:rStyle w:val="EndnoteReference"/>
          <w:rFonts w:eastAsia="Segoe UI" w:cs="Arial"/>
        </w:rPr>
        <w:endnoteReference w:id="9"/>
      </w:r>
    </w:p>
    <w:p w:rsidR="00CE0C39" w:rsidRDefault="00CE0C39" w:rsidP="00CE0C39">
      <w:pPr>
        <w:rPr>
          <w:rFonts w:ascii="MEPS Bookman WTS" w:eastAsia="Segoe UI" w:hAnsi="MEPS Bookman WTS" w:cs="Segoe UI"/>
        </w:rPr>
      </w:pPr>
      <w:r>
        <w:rPr>
          <w:rFonts w:eastAsia="Segoe UI" w:cs="Arial"/>
          <w:b/>
        </w:rPr>
        <w:t xml:space="preserve">8 </w:t>
      </w:r>
      <w:r>
        <w:rPr>
          <w:rFonts w:eastAsia="Segoe UI" w:cs="Arial"/>
        </w:rPr>
        <w:t>“If a case arises in one of your cities that is too difficult for you to judge, whether it is a case involving bloodshed</w:t>
      </w:r>
      <w:r w:rsidR="00A7080C">
        <w:rPr>
          <w:rStyle w:val="EndnoteReference"/>
          <w:rFonts w:eastAsia="Segoe UI" w:cs="Arial"/>
        </w:rPr>
        <w:endnoteReference w:id="10"/>
      </w:r>
      <w:r>
        <w:rPr>
          <w:rFonts w:eastAsia="Segoe UI" w:cs="Arial"/>
        </w:rPr>
        <w:t xml:space="preserve"> or a legal claim that has been raised or a violent deed that has been committed or other matters of dispute, you should rise up and go to the place that Jehovah your God chooses.</w:t>
      </w:r>
      <w:r w:rsidR="00A7080C">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9 </w:t>
      </w:r>
      <w:r>
        <w:rPr>
          <w:rFonts w:eastAsia="Segoe UI" w:cs="Arial"/>
        </w:rPr>
        <w:t>Go to the Levitical priests and to the judge</w:t>
      </w:r>
      <w:r w:rsidR="00A7080C">
        <w:rPr>
          <w:rStyle w:val="EndnoteReference"/>
          <w:rFonts w:eastAsia="Segoe UI" w:cs="Arial"/>
        </w:rPr>
        <w:endnoteReference w:id="12"/>
      </w:r>
      <w:r>
        <w:rPr>
          <w:rFonts w:eastAsia="Segoe UI" w:cs="Arial"/>
        </w:rPr>
        <w:t xml:space="preserve"> serving in those days, and make your inquiry, and they will hand down the decision to you.</w:t>
      </w:r>
      <w:r w:rsidR="00A7080C">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10 </w:t>
      </w:r>
      <w:r>
        <w:rPr>
          <w:rFonts w:eastAsia="Segoe UI" w:cs="Arial"/>
        </w:rPr>
        <w:t xml:space="preserve">Then you must act according to the decision that they hand down to you from the place that Jehovah chooses. Be careful to do according to all that they instruct you. </w:t>
      </w:r>
      <w:r>
        <w:rPr>
          <w:rFonts w:eastAsia="Segoe UI" w:cs="Arial"/>
          <w:b/>
        </w:rPr>
        <w:t xml:space="preserve">11 </w:t>
      </w:r>
      <w:r>
        <w:rPr>
          <w:rFonts w:eastAsia="Segoe UI" w:cs="Arial"/>
        </w:rPr>
        <w:t>You must act according to the law that they show you and according to the decision that they declare to you.</w:t>
      </w:r>
      <w:r w:rsidR="00A7080C">
        <w:rPr>
          <w:rStyle w:val="EndnoteReference"/>
          <w:rFonts w:eastAsia="Segoe UI" w:cs="Arial"/>
        </w:rPr>
        <w:endnoteReference w:id="14"/>
      </w:r>
      <w:r>
        <w:rPr>
          <w:rFonts w:eastAsia="Segoe UI" w:cs="Arial"/>
        </w:rPr>
        <w:t xml:space="preserve"> Do not deviate from the decision that they will hand down to you, either to the right or to the left.</w:t>
      </w:r>
      <w:r w:rsidR="00A7080C">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12 </w:t>
      </w:r>
      <w:r>
        <w:rPr>
          <w:rFonts w:eastAsia="Segoe UI" w:cs="Arial"/>
        </w:rPr>
        <w:t>The man who acts presumptuously by not listening to the priest who is ministering to Jehovah your God or to the judge must die.</w:t>
      </w:r>
      <w:r w:rsidR="00A7080C">
        <w:rPr>
          <w:rStyle w:val="EndnoteReference"/>
          <w:rFonts w:eastAsia="Segoe UI" w:cs="Arial"/>
        </w:rPr>
        <w:endnoteReference w:id="16"/>
      </w:r>
      <w:r>
        <w:rPr>
          <w:rFonts w:eastAsia="Segoe UI" w:cs="Arial"/>
        </w:rPr>
        <w:t xml:space="preserve"> You must remove what is bad from Israel.</w:t>
      </w:r>
      <w:r w:rsidR="00A7080C">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13 </w:t>
      </w:r>
      <w:r>
        <w:rPr>
          <w:rFonts w:eastAsia="Segoe UI" w:cs="Arial"/>
        </w:rPr>
        <w:t>All the people will then hear and become afraid, and they will not act presumptuously anymore.</w:t>
      </w:r>
      <w:r w:rsidR="00A7080C">
        <w:rPr>
          <w:rStyle w:val="EndnoteReference"/>
          <w:rFonts w:eastAsia="Segoe UI" w:cs="Arial"/>
        </w:rPr>
        <w:endnoteReference w:id="18"/>
      </w:r>
    </w:p>
    <w:p w:rsidR="00CE0C39" w:rsidRDefault="00CE0C39" w:rsidP="00CE0C39">
      <w:pPr>
        <w:rPr>
          <w:rFonts w:ascii="MEPS Bookman WTS" w:eastAsia="Segoe UI" w:hAnsi="MEPS Bookman WTS" w:cs="Segoe UI"/>
        </w:rPr>
      </w:pPr>
      <w:r>
        <w:rPr>
          <w:rFonts w:eastAsia="Segoe UI" w:cs="Arial"/>
          <w:b/>
        </w:rPr>
        <w:t xml:space="preserve">14 </w:t>
      </w:r>
      <w:r>
        <w:rPr>
          <w:rFonts w:eastAsia="Segoe UI" w:cs="Arial"/>
        </w:rPr>
        <w:t>“When you enter the land that Jehovah your God is giving you and you have taken possession of it and are living in it, and you say, ‘Let me appoint a king over myself like all the nations around me,’</w:t>
      </w:r>
      <w:r w:rsidR="00A7080C">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15 </w:t>
      </w:r>
      <w:r>
        <w:rPr>
          <w:rFonts w:eastAsia="Segoe UI" w:cs="Arial"/>
        </w:rPr>
        <w:t>in that case, you should without fail appoint a king whom Jehovah your God chooses.</w:t>
      </w:r>
      <w:r w:rsidR="00A7080C">
        <w:rPr>
          <w:rStyle w:val="EndnoteReference"/>
          <w:rFonts w:eastAsia="Segoe UI" w:cs="Arial"/>
        </w:rPr>
        <w:endnoteReference w:id="20"/>
      </w:r>
      <w:r>
        <w:rPr>
          <w:rFonts w:eastAsia="Segoe UI" w:cs="Arial"/>
        </w:rPr>
        <w:t xml:space="preserve"> You should appoint a king from among your brothers. You are forbidden to appoint over yourself a foreigner who is not your brother. </w:t>
      </w:r>
      <w:r>
        <w:rPr>
          <w:rFonts w:eastAsia="Segoe UI" w:cs="Arial"/>
          <w:b/>
        </w:rPr>
        <w:t xml:space="preserve">16 </w:t>
      </w:r>
      <w:r>
        <w:rPr>
          <w:rFonts w:eastAsia="Segoe UI" w:cs="Arial"/>
        </w:rPr>
        <w:t>However, he should not acquire many horses for himself</w:t>
      </w:r>
      <w:r w:rsidR="00A7080C">
        <w:rPr>
          <w:rStyle w:val="EndnoteReference"/>
          <w:rFonts w:eastAsia="Segoe UI" w:cs="Arial"/>
        </w:rPr>
        <w:endnoteReference w:id="21"/>
      </w:r>
      <w:r>
        <w:rPr>
          <w:rFonts w:eastAsia="Segoe UI" w:cs="Arial"/>
        </w:rPr>
        <w:t xml:space="preserve"> or make the people go back to Egypt in order to obtain more horses,</w:t>
      </w:r>
      <w:r w:rsidR="00A7080C">
        <w:rPr>
          <w:rStyle w:val="EndnoteReference"/>
          <w:rFonts w:eastAsia="Segoe UI" w:cs="Arial"/>
        </w:rPr>
        <w:endnoteReference w:id="22"/>
      </w:r>
      <w:r>
        <w:rPr>
          <w:rFonts w:eastAsia="Segoe UI" w:cs="Arial"/>
        </w:rPr>
        <w:t xml:space="preserve"> since Jehovah told you, ‘You must never go back again by this way.’ </w:t>
      </w:r>
      <w:r>
        <w:rPr>
          <w:rFonts w:eastAsia="Segoe UI" w:cs="Arial"/>
          <w:b/>
        </w:rPr>
        <w:t xml:space="preserve">17 </w:t>
      </w:r>
      <w:r>
        <w:rPr>
          <w:rFonts w:eastAsia="Segoe UI" w:cs="Arial"/>
        </w:rPr>
        <w:t>Neither should he take many wives for himself, so that his heart may not go astray;</w:t>
      </w:r>
      <w:r w:rsidR="00A7080C">
        <w:rPr>
          <w:rStyle w:val="EndnoteReference"/>
          <w:rFonts w:eastAsia="Segoe UI" w:cs="Arial"/>
        </w:rPr>
        <w:endnoteReference w:id="23"/>
      </w:r>
      <w:r>
        <w:rPr>
          <w:rFonts w:eastAsia="Segoe UI" w:cs="Arial"/>
        </w:rPr>
        <w:t xml:space="preserve"> nor should he acquire vast amounts of silver and gold for himself.</w:t>
      </w:r>
      <w:r w:rsidR="00A7080C">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18 </w:t>
      </w:r>
      <w:r>
        <w:rPr>
          <w:rFonts w:eastAsia="Segoe UI" w:cs="Arial"/>
        </w:rPr>
        <w:t>When he takes his seat on the throne of his kingdom, he must write for himself in a book</w:t>
      </w:r>
      <w:r w:rsidR="00A7080C">
        <w:rPr>
          <w:rStyle w:val="FootnoteReference"/>
          <w:rFonts w:eastAsia="Segoe UI" w:cs="Arial"/>
        </w:rPr>
        <w:footnoteReference w:id="2"/>
      </w:r>
      <w:r>
        <w:rPr>
          <w:rFonts w:eastAsia="Segoe UI" w:cs="Arial"/>
        </w:rPr>
        <w:t xml:space="preserve"> a copy of this Law, taken from the one kept by the Levitical priests.</w:t>
      </w:r>
      <w:r w:rsidR="00A7080C">
        <w:rPr>
          <w:rStyle w:val="EndnoteReference"/>
          <w:rFonts w:eastAsia="Segoe UI" w:cs="Arial"/>
        </w:rPr>
        <w:endnoteReference w:id="25"/>
      </w:r>
    </w:p>
    <w:p w:rsidR="00CE0C39" w:rsidRDefault="00CE0C39" w:rsidP="00CE0C39">
      <w:pPr>
        <w:rPr>
          <w:rFonts w:eastAsia="Segoe UI" w:cs="Arial"/>
        </w:rPr>
      </w:pPr>
      <w:r>
        <w:rPr>
          <w:rFonts w:eastAsia="Segoe UI" w:cs="Arial"/>
          <w:b/>
        </w:rPr>
        <w:t xml:space="preserve">19 </w:t>
      </w:r>
      <w:r>
        <w:rPr>
          <w:rFonts w:eastAsia="Segoe UI" w:cs="Arial"/>
        </w:rPr>
        <w:t>“It is to remain with him, and he must read from it all the days of his life,</w:t>
      </w:r>
      <w:r w:rsidR="00A7080C">
        <w:rPr>
          <w:rStyle w:val="EndnoteReference"/>
          <w:rFonts w:eastAsia="Segoe UI" w:cs="Arial"/>
        </w:rPr>
        <w:endnoteReference w:id="26"/>
      </w:r>
      <w:r>
        <w:rPr>
          <w:rFonts w:eastAsia="Segoe UI" w:cs="Arial"/>
        </w:rPr>
        <w:t xml:space="preserve"> so that he may learn to fear Jehovah his God and observe all the words of this Law and these regulations by carrying them out.</w:t>
      </w:r>
      <w:r w:rsidR="00A7080C">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20 </w:t>
      </w:r>
      <w:r>
        <w:rPr>
          <w:rFonts w:eastAsia="Segoe UI" w:cs="Arial"/>
        </w:rPr>
        <w:t>Thus his heart will not exalt itself above his brothers, and he will not deviate from the commandment, either to the right or to the left, so that he may remain a long time over his kingdom, he and his sons in the midst of Israel.</w:t>
      </w:r>
    </w:p>
    <w:p w:rsidR="00762BCB" w:rsidRPr="00CE0C39" w:rsidRDefault="00762BCB" w:rsidP="00CE0C39"/>
    <w:sectPr w:rsidR="00762BCB" w:rsidRPr="00CE0C39"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2D70" w:rsidRDefault="00352D70">
      <w:r>
        <w:separator/>
      </w:r>
    </w:p>
  </w:endnote>
  <w:endnote w:type="continuationSeparator" w:id="0">
    <w:p w:rsidR="00352D70" w:rsidRDefault="00352D70">
      <w:r>
        <w:continuationSeparator/>
      </w:r>
    </w:p>
  </w:endnote>
  <w:endnote w:id="1">
    <w:p w:rsidR="00A7080C" w:rsidRDefault="00A7080C">
      <w:pPr>
        <w:pStyle w:val="EndnoteText"/>
      </w:pPr>
      <w:r>
        <w:rPr>
          <w:rStyle w:val="EndnoteReference"/>
        </w:rPr>
        <w:endnoteRef/>
      </w:r>
      <w:r>
        <w:t xml:space="preserve"> Leviticus 22:20; Deuteronomy 15:21; Malachi 1:8</w:t>
      </w:r>
    </w:p>
  </w:endnote>
  <w:endnote w:id="2">
    <w:p w:rsidR="00A7080C" w:rsidRDefault="00A7080C">
      <w:pPr>
        <w:pStyle w:val="EndnoteText"/>
      </w:pPr>
      <w:r>
        <w:rPr>
          <w:rStyle w:val="EndnoteReference"/>
        </w:rPr>
        <w:endnoteRef/>
      </w:r>
      <w:r>
        <w:t xml:space="preserve"> Deuteronomy 4:23; 13:6-9</w:t>
      </w:r>
    </w:p>
  </w:endnote>
  <w:endnote w:id="3">
    <w:p w:rsidR="00A7080C" w:rsidRDefault="00A7080C">
      <w:pPr>
        <w:pStyle w:val="EndnoteText"/>
      </w:pPr>
      <w:r>
        <w:rPr>
          <w:rStyle w:val="EndnoteReference"/>
        </w:rPr>
        <w:endnoteRef/>
      </w:r>
      <w:r>
        <w:t xml:space="preserve"> Deuteronomy 4:19</w:t>
      </w:r>
    </w:p>
  </w:endnote>
  <w:endnote w:id="4">
    <w:p w:rsidR="00A7080C" w:rsidRDefault="00A7080C">
      <w:pPr>
        <w:pStyle w:val="EndnoteText"/>
      </w:pPr>
      <w:r>
        <w:rPr>
          <w:rStyle w:val="EndnoteReference"/>
        </w:rPr>
        <w:endnoteRef/>
      </w:r>
      <w:r>
        <w:t xml:space="preserve"> Deuteronomy 13:12-15</w:t>
      </w:r>
    </w:p>
  </w:endnote>
  <w:endnote w:id="5">
    <w:p w:rsidR="00A7080C" w:rsidRDefault="00A7080C">
      <w:pPr>
        <w:pStyle w:val="EndnoteText"/>
      </w:pPr>
      <w:r>
        <w:rPr>
          <w:rStyle w:val="EndnoteReference"/>
        </w:rPr>
        <w:endnoteRef/>
      </w:r>
      <w:r>
        <w:t xml:space="preserve"> John 7:51</w:t>
      </w:r>
    </w:p>
  </w:endnote>
  <w:endnote w:id="6">
    <w:p w:rsidR="00A7080C" w:rsidRDefault="00A7080C">
      <w:pPr>
        <w:pStyle w:val="EndnoteText"/>
      </w:pPr>
      <w:r>
        <w:rPr>
          <w:rStyle w:val="EndnoteReference"/>
        </w:rPr>
        <w:endnoteRef/>
      </w:r>
      <w:r>
        <w:t xml:space="preserve"> Deuteronomy 13:6, 10</w:t>
      </w:r>
    </w:p>
  </w:endnote>
  <w:endnote w:id="7">
    <w:p w:rsidR="00A7080C" w:rsidRDefault="00A7080C">
      <w:pPr>
        <w:pStyle w:val="EndnoteText"/>
      </w:pPr>
      <w:r>
        <w:rPr>
          <w:rStyle w:val="EndnoteReference"/>
        </w:rPr>
        <w:endnoteRef/>
      </w:r>
      <w:r>
        <w:t xml:space="preserve"> Matthew 18:16; John 8:17; 1 Timothy 5:19; Hebrews 10:28</w:t>
      </w:r>
    </w:p>
  </w:endnote>
  <w:endnote w:id="8">
    <w:p w:rsidR="00A7080C" w:rsidRDefault="00A7080C">
      <w:pPr>
        <w:pStyle w:val="EndnoteText"/>
      </w:pPr>
      <w:r>
        <w:rPr>
          <w:rStyle w:val="EndnoteReference"/>
        </w:rPr>
        <w:endnoteRef/>
      </w:r>
      <w:r>
        <w:t xml:space="preserve"> Numbers 35:30; Deuteronomy 19:15</w:t>
      </w:r>
    </w:p>
  </w:endnote>
  <w:endnote w:id="9">
    <w:p w:rsidR="00A7080C" w:rsidRDefault="00A7080C">
      <w:pPr>
        <w:pStyle w:val="EndnoteText"/>
      </w:pPr>
      <w:r>
        <w:rPr>
          <w:rStyle w:val="EndnoteReference"/>
        </w:rPr>
        <w:endnoteRef/>
      </w:r>
      <w:r>
        <w:t xml:space="preserve"> Deuteronomy 13:5; 1 Corinthians 5:13</w:t>
      </w:r>
    </w:p>
  </w:endnote>
  <w:endnote w:id="10">
    <w:p w:rsidR="00A7080C" w:rsidRDefault="00A7080C">
      <w:pPr>
        <w:pStyle w:val="EndnoteText"/>
      </w:pPr>
      <w:r>
        <w:rPr>
          <w:rStyle w:val="EndnoteReference"/>
        </w:rPr>
        <w:endnoteRef/>
      </w:r>
      <w:r>
        <w:t xml:space="preserve"> Numbers 35:11</w:t>
      </w:r>
    </w:p>
  </w:endnote>
  <w:endnote w:id="11">
    <w:p w:rsidR="00A7080C" w:rsidRDefault="00A7080C">
      <w:pPr>
        <w:pStyle w:val="EndnoteText"/>
      </w:pPr>
      <w:r>
        <w:rPr>
          <w:rStyle w:val="EndnoteReference"/>
        </w:rPr>
        <w:endnoteRef/>
      </w:r>
      <w:r>
        <w:t xml:space="preserve"> Deuteronomy 12:5; 1 Kings 3:16, 28; Psalms 122:2, 5</w:t>
      </w:r>
    </w:p>
  </w:endnote>
  <w:endnote w:id="12">
    <w:p w:rsidR="00A7080C" w:rsidRDefault="00A7080C">
      <w:pPr>
        <w:pStyle w:val="EndnoteText"/>
      </w:pPr>
      <w:r>
        <w:rPr>
          <w:rStyle w:val="EndnoteReference"/>
        </w:rPr>
        <w:endnoteRef/>
      </w:r>
      <w:r>
        <w:t xml:space="preserve"> 1 Samuel 7:15, 16</w:t>
      </w:r>
    </w:p>
  </w:endnote>
  <w:endnote w:id="13">
    <w:p w:rsidR="00A7080C" w:rsidRDefault="00A7080C">
      <w:pPr>
        <w:pStyle w:val="EndnoteText"/>
      </w:pPr>
      <w:r>
        <w:rPr>
          <w:rStyle w:val="EndnoteReference"/>
        </w:rPr>
        <w:endnoteRef/>
      </w:r>
      <w:r>
        <w:t xml:space="preserve"> Deuteronomy 19:17; 21:5</w:t>
      </w:r>
    </w:p>
  </w:endnote>
  <w:endnote w:id="14">
    <w:p w:rsidR="00A7080C" w:rsidRDefault="00A7080C">
      <w:pPr>
        <w:pStyle w:val="EndnoteText"/>
      </w:pPr>
      <w:r>
        <w:rPr>
          <w:rStyle w:val="EndnoteReference"/>
        </w:rPr>
        <w:endnoteRef/>
      </w:r>
      <w:r>
        <w:t xml:space="preserve"> Malachi 2:7</w:t>
      </w:r>
    </w:p>
  </w:endnote>
  <w:endnote w:id="15">
    <w:p w:rsidR="00A7080C" w:rsidRDefault="00A7080C">
      <w:pPr>
        <w:pStyle w:val="EndnoteText"/>
      </w:pPr>
      <w:r>
        <w:rPr>
          <w:rStyle w:val="EndnoteReference"/>
        </w:rPr>
        <w:endnoteRef/>
      </w:r>
      <w:r>
        <w:t xml:space="preserve"> Deuteronomy 5:32; 12:32</w:t>
      </w:r>
    </w:p>
  </w:endnote>
  <w:endnote w:id="16">
    <w:p w:rsidR="00A7080C" w:rsidRDefault="00A7080C">
      <w:pPr>
        <w:pStyle w:val="EndnoteText"/>
      </w:pPr>
      <w:r>
        <w:rPr>
          <w:rStyle w:val="EndnoteReference"/>
        </w:rPr>
        <w:endnoteRef/>
      </w:r>
      <w:r>
        <w:t xml:space="preserve"> Proverbs 11:2; Hebrews 10:28</w:t>
      </w:r>
    </w:p>
  </w:endnote>
  <w:endnote w:id="17">
    <w:p w:rsidR="00A7080C" w:rsidRDefault="00A7080C">
      <w:pPr>
        <w:pStyle w:val="EndnoteText"/>
      </w:pPr>
      <w:r>
        <w:rPr>
          <w:rStyle w:val="EndnoteReference"/>
        </w:rPr>
        <w:endnoteRef/>
      </w:r>
      <w:r>
        <w:t xml:space="preserve"> Deuteronomy 13:5; 1 Corinthians 5:13</w:t>
      </w:r>
    </w:p>
  </w:endnote>
  <w:endnote w:id="18">
    <w:p w:rsidR="00A7080C" w:rsidRDefault="00A7080C">
      <w:pPr>
        <w:pStyle w:val="EndnoteText"/>
      </w:pPr>
      <w:r>
        <w:rPr>
          <w:rStyle w:val="EndnoteReference"/>
        </w:rPr>
        <w:endnoteRef/>
      </w:r>
      <w:r>
        <w:t xml:space="preserve"> Deuteronomy 13:11; 19:20</w:t>
      </w:r>
    </w:p>
  </w:endnote>
  <w:endnote w:id="19">
    <w:p w:rsidR="00A7080C" w:rsidRDefault="00A7080C">
      <w:pPr>
        <w:pStyle w:val="EndnoteText"/>
      </w:pPr>
      <w:r>
        <w:rPr>
          <w:rStyle w:val="EndnoteReference"/>
        </w:rPr>
        <w:endnoteRef/>
      </w:r>
      <w:r>
        <w:t xml:space="preserve"> 1 Samuel 8:5, 20; 10:19</w:t>
      </w:r>
    </w:p>
  </w:endnote>
  <w:endnote w:id="20">
    <w:p w:rsidR="00A7080C" w:rsidRDefault="00A7080C">
      <w:pPr>
        <w:pStyle w:val="EndnoteText"/>
      </w:pPr>
      <w:r>
        <w:rPr>
          <w:rStyle w:val="EndnoteReference"/>
        </w:rPr>
        <w:endnoteRef/>
      </w:r>
      <w:r>
        <w:t xml:space="preserve"> 1 Samuel 9:17; 10:24; 16:12, 13</w:t>
      </w:r>
    </w:p>
  </w:endnote>
  <w:endnote w:id="21">
    <w:p w:rsidR="00A7080C" w:rsidRDefault="00A7080C">
      <w:pPr>
        <w:pStyle w:val="EndnoteText"/>
      </w:pPr>
      <w:r>
        <w:rPr>
          <w:rStyle w:val="EndnoteReference"/>
        </w:rPr>
        <w:endnoteRef/>
      </w:r>
      <w:r>
        <w:t xml:space="preserve"> Deuteronomy 20:1; 2 Samuel 8:4; Psalms 20:7; Proverbs 21:31</w:t>
      </w:r>
    </w:p>
  </w:endnote>
  <w:endnote w:id="22">
    <w:p w:rsidR="00A7080C" w:rsidRDefault="00A7080C">
      <w:pPr>
        <w:pStyle w:val="EndnoteText"/>
      </w:pPr>
      <w:r>
        <w:rPr>
          <w:rStyle w:val="EndnoteReference"/>
        </w:rPr>
        <w:endnoteRef/>
      </w:r>
      <w:r>
        <w:t xml:space="preserve"> Isaiah 31:1</w:t>
      </w:r>
    </w:p>
  </w:endnote>
  <w:endnote w:id="23">
    <w:p w:rsidR="00A7080C" w:rsidRDefault="00A7080C">
      <w:pPr>
        <w:pStyle w:val="EndnoteText"/>
      </w:pPr>
      <w:r>
        <w:rPr>
          <w:rStyle w:val="EndnoteReference"/>
        </w:rPr>
        <w:endnoteRef/>
      </w:r>
      <w:r>
        <w:t xml:space="preserve"> 1 Kings 11:1-3; Nehemiah 13:26</w:t>
      </w:r>
    </w:p>
  </w:endnote>
  <w:endnote w:id="24">
    <w:p w:rsidR="00A7080C" w:rsidRDefault="00A7080C">
      <w:pPr>
        <w:pStyle w:val="EndnoteText"/>
      </w:pPr>
      <w:r>
        <w:rPr>
          <w:rStyle w:val="EndnoteReference"/>
        </w:rPr>
        <w:endnoteRef/>
      </w:r>
      <w:r>
        <w:t xml:space="preserve"> Job 31:24, 28; 1 Timothy 6:9</w:t>
      </w:r>
    </w:p>
  </w:endnote>
  <w:endnote w:id="25">
    <w:p w:rsidR="00A7080C" w:rsidRDefault="00A7080C">
      <w:pPr>
        <w:pStyle w:val="EndnoteText"/>
      </w:pPr>
      <w:r>
        <w:rPr>
          <w:rStyle w:val="EndnoteReference"/>
        </w:rPr>
        <w:endnoteRef/>
      </w:r>
      <w:r>
        <w:t xml:space="preserve"> Deuteronomy 31:9, 26; 2 Kings 22:8</w:t>
      </w:r>
    </w:p>
  </w:endnote>
  <w:endnote w:id="26">
    <w:p w:rsidR="00A7080C" w:rsidRDefault="00A7080C">
      <w:pPr>
        <w:pStyle w:val="EndnoteText"/>
      </w:pPr>
      <w:r>
        <w:rPr>
          <w:rStyle w:val="EndnoteReference"/>
        </w:rPr>
        <w:endnoteRef/>
      </w:r>
      <w:r>
        <w:t xml:space="preserve"> 2 Chronicles 34:18</w:t>
      </w:r>
    </w:p>
  </w:endnote>
  <w:endnote w:id="27">
    <w:p w:rsidR="00A7080C" w:rsidRDefault="00A7080C">
      <w:pPr>
        <w:pStyle w:val="EndnoteText"/>
      </w:pPr>
      <w:r>
        <w:rPr>
          <w:rStyle w:val="EndnoteReference"/>
        </w:rPr>
        <w:endnoteRef/>
      </w:r>
      <w:r>
        <w:t xml:space="preserve"> Psalms 1:2; 119:97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2D70" w:rsidRDefault="00352D70">
      <w:r>
        <w:separator/>
      </w:r>
    </w:p>
  </w:footnote>
  <w:footnote w:type="continuationSeparator" w:id="0">
    <w:p w:rsidR="00352D70" w:rsidRDefault="00352D70">
      <w:r>
        <w:continuationSeparator/>
      </w:r>
    </w:p>
  </w:footnote>
  <w:footnote w:id="1">
    <w:p w:rsidR="00A7080C" w:rsidRDefault="00A7080C">
      <w:pPr>
        <w:pStyle w:val="FootnoteText"/>
      </w:pPr>
      <w:r>
        <w:rPr>
          <w:rStyle w:val="FootnoteReference"/>
        </w:rPr>
        <w:footnoteRef/>
      </w:r>
      <w:r>
        <w:t xml:space="preserve"> </w:t>
      </w:r>
      <w:r>
        <w:t>Lit., “mouth.”</w:t>
      </w:r>
    </w:p>
  </w:footnote>
  <w:footnote w:id="2">
    <w:p w:rsidR="00A7080C" w:rsidRDefault="00A7080C">
      <w:pPr>
        <w:pStyle w:val="FootnoteText"/>
      </w:pPr>
      <w:r>
        <w:rPr>
          <w:rStyle w:val="FootnoteReference"/>
        </w:rPr>
        <w:footnoteRef/>
      </w:r>
      <w:r>
        <w:t xml:space="preserve"> </w:t>
      </w:r>
      <w:r>
        <w:t>Or “a scroll.”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A7080C">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A7080C">
        <w:t>Deuteronomy Chapter 17</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A7080C">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A7080C">
      <w:rPr>
        <w:noProof/>
        <w:snapToGrid w:val="0"/>
      </w:rPr>
      <w:t>Deuteronomy 17.Advisor.docx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A7080C">
        <w:t>Deuteronomy Chapter 17</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A7080C">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A7080C">
      <w:rPr>
        <w:noProof/>
        <w:snapToGrid w:val="0"/>
      </w:rPr>
      <w:t>Deuteronomy 17.Advisor.docx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A7080C">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A7080C">
      <w:t>&lt;not set&gt;</w:t>
    </w:r>
    <w:r>
      <w:fldChar w:fldCharType="end"/>
    </w:r>
    <w:r>
      <w:tab/>
      <w:t xml:space="preserve">Checker: </w:t>
    </w:r>
    <w:r>
      <w:fldChar w:fldCharType="begin"/>
    </w:r>
    <w:r>
      <w:instrText xml:space="preserve"> DOCPROPERTY "_RoleChecker" </w:instrText>
    </w:r>
    <w:r>
      <w:fldChar w:fldCharType="separate"/>
    </w:r>
    <w:r w:rsidR="00A7080C">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A7080C">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2D70"/>
    <w:rsid w:val="00245EDD"/>
    <w:rsid w:val="0026230D"/>
    <w:rsid w:val="002B524D"/>
    <w:rsid w:val="002C00A8"/>
    <w:rsid w:val="00310508"/>
    <w:rsid w:val="00352D70"/>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080C"/>
    <w:rsid w:val="00A73FF6"/>
    <w:rsid w:val="00A86CA5"/>
    <w:rsid w:val="00AA09DB"/>
    <w:rsid w:val="00B87B77"/>
    <w:rsid w:val="00BC4A6C"/>
    <w:rsid w:val="00BD6AB0"/>
    <w:rsid w:val="00C37E6E"/>
    <w:rsid w:val="00C810DC"/>
    <w:rsid w:val="00C92D5F"/>
    <w:rsid w:val="00CA2E7C"/>
    <w:rsid w:val="00CE0C39"/>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6735c3a4a8d04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A7080C"/>
    <w:pPr>
      <w:spacing w:line="240" w:lineRule="auto"/>
    </w:pPr>
    <w:rPr>
      <w:sz w:val="20"/>
      <w:szCs w:val="20"/>
    </w:rPr>
  </w:style>
  <w:style w:type="character" w:customStyle="1" w:styleId="FootnoteTextChar">
    <w:name w:val="Footnote Text Char"/>
    <w:basedOn w:val="DefaultParagraphFont"/>
    <w:link w:val="FootnoteText"/>
    <w:rsid w:val="00A7080C"/>
    <w:rPr>
      <w:rFonts w:ascii="Arial" w:eastAsia="Times New Roman" w:hAnsi="Arial" w:cs="Latha"/>
      <w:lang w:val="en-US" w:eastAsia="en-US" w:bidi="ta-IN"/>
    </w:rPr>
  </w:style>
  <w:style w:type="character" w:styleId="FootnoteReference">
    <w:name w:val="footnote reference"/>
    <w:basedOn w:val="DefaultParagraphFont"/>
    <w:rsid w:val="00A7080C"/>
    <w:rPr>
      <w:vertAlign w:val="superscript"/>
    </w:rPr>
  </w:style>
  <w:style w:type="paragraph" w:styleId="EndnoteText">
    <w:name w:val="endnote text"/>
    <w:basedOn w:val="Normal"/>
    <w:link w:val="EndnoteTextChar"/>
    <w:rsid w:val="00A7080C"/>
    <w:pPr>
      <w:spacing w:line="240" w:lineRule="auto"/>
    </w:pPr>
    <w:rPr>
      <w:sz w:val="20"/>
      <w:szCs w:val="20"/>
    </w:rPr>
  </w:style>
  <w:style w:type="character" w:customStyle="1" w:styleId="EndnoteTextChar">
    <w:name w:val="Endnote Text Char"/>
    <w:basedOn w:val="DefaultParagraphFont"/>
    <w:link w:val="EndnoteText"/>
    <w:rsid w:val="00A7080C"/>
    <w:rPr>
      <w:rFonts w:ascii="Arial" w:eastAsia="Times New Roman" w:hAnsi="Arial" w:cs="Latha"/>
      <w:lang w:val="en-US" w:eastAsia="en-US" w:bidi="ta-IN"/>
    </w:rPr>
  </w:style>
  <w:style w:type="character" w:styleId="EndnoteReference">
    <w:name w:val="endnote reference"/>
    <w:basedOn w:val="DefaultParagraphFont"/>
    <w:rsid w:val="00A7080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A7080C"/>
    <w:pPr>
      <w:spacing w:line="240" w:lineRule="auto"/>
    </w:pPr>
    <w:rPr>
      <w:sz w:val="20"/>
      <w:szCs w:val="20"/>
    </w:rPr>
  </w:style>
  <w:style w:type="character" w:customStyle="1" w:styleId="FootnoteTextChar">
    <w:name w:val="Footnote Text Char"/>
    <w:basedOn w:val="DefaultParagraphFont"/>
    <w:link w:val="FootnoteText"/>
    <w:rsid w:val="00A7080C"/>
    <w:rPr>
      <w:rFonts w:ascii="Arial" w:eastAsia="Times New Roman" w:hAnsi="Arial" w:cs="Latha"/>
      <w:lang w:val="en-US" w:eastAsia="en-US" w:bidi="ta-IN"/>
    </w:rPr>
  </w:style>
  <w:style w:type="character" w:styleId="FootnoteReference">
    <w:name w:val="footnote reference"/>
    <w:basedOn w:val="DefaultParagraphFont"/>
    <w:rsid w:val="00A7080C"/>
    <w:rPr>
      <w:vertAlign w:val="superscript"/>
    </w:rPr>
  </w:style>
  <w:style w:type="paragraph" w:styleId="EndnoteText">
    <w:name w:val="endnote text"/>
    <w:basedOn w:val="Normal"/>
    <w:link w:val="EndnoteTextChar"/>
    <w:rsid w:val="00A7080C"/>
    <w:pPr>
      <w:spacing w:line="240" w:lineRule="auto"/>
    </w:pPr>
    <w:rPr>
      <w:sz w:val="20"/>
      <w:szCs w:val="20"/>
    </w:rPr>
  </w:style>
  <w:style w:type="character" w:customStyle="1" w:styleId="EndnoteTextChar">
    <w:name w:val="Endnote Text Char"/>
    <w:basedOn w:val="DefaultParagraphFont"/>
    <w:link w:val="EndnoteText"/>
    <w:rsid w:val="00A7080C"/>
    <w:rPr>
      <w:rFonts w:ascii="Arial" w:eastAsia="Times New Roman" w:hAnsi="Arial" w:cs="Latha"/>
      <w:lang w:val="en-US" w:eastAsia="en-US" w:bidi="ta-IN"/>
    </w:rPr>
  </w:style>
  <w:style w:type="character" w:styleId="EndnoteReference">
    <w:name w:val="endnote reference"/>
    <w:basedOn w:val="DefaultParagraphFont"/>
    <w:rsid w:val="00A708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6735c3a4a8d04f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729</ap:Words>
  <ap:Characters>2953</ap:Characters>
  <ap:Application>Microsoft Office Word</ap:Application>
  <ap:DocSecurity>0</ap:DocSecurity>
  <ap:Lines>47</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3676</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17</dc:title>
  <dc:subject/>
  <dc:creator>David Waterson</dc:creator>
  <cp:keywords/>
  <dc:description/>
  <cp:lastModifiedBy>David Waterson</cp:lastModifiedBy>
  <cp:revision>3</cp:revision>
  <dcterms:created xsi:type="dcterms:W3CDTF">2019-08-04T14:30:00Z</dcterms:created>
  <dcterms:modified xsi:type="dcterms:W3CDTF">2019-08-04T14:30:00Z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17.docx</vt:lpwstr>
  </property>
  <property fmtid="{D5CDD505-2E9C-101B-9397-08002B2CF9AE}" pid="9" name="_TranslationDocumentId">
    <vt:i4>19500</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5017</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17</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