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2EB7" w:rsidRDefault="005B2EB7" w:rsidP="005B2EB7">
      <w:pPr>
        <w:rPr>
          <w:rFonts w:eastAsia="Segoe UI" w:cs="Arial"/>
        </w:rPr>
      </w:pPr>
      <w:bookmarkStart w:id="0" w:name="_GoBack"/>
      <w:bookmarkEnd w:id="0"/>
      <w:r>
        <w:rPr>
          <w:rFonts w:eastAsia="Segoe UI" w:cs="Arial"/>
          <w:b/>
        </w:rPr>
        <w:t xml:space="preserve">25:1 </w:t>
      </w:r>
      <w:r>
        <w:rPr>
          <w:rFonts w:eastAsia="Segoe UI" w:cs="Arial"/>
        </w:rPr>
        <w:t>“When a dispute arises between men, they may present themselves before the judges,</w:t>
      </w:r>
      <w:r w:rsidR="00784C38">
        <w:rPr>
          <w:rStyle w:val="EndnoteReference"/>
          <w:rFonts w:eastAsia="Segoe UI" w:cs="Arial"/>
        </w:rPr>
        <w:endnoteReference w:id="1"/>
      </w:r>
      <w:r>
        <w:rPr>
          <w:rFonts w:eastAsia="Segoe UI" w:cs="Arial"/>
        </w:rPr>
        <w:t xml:space="preserve"> and they will judge them and pronounce the righteous one innocent and the wicked one guilty.</w:t>
      </w:r>
      <w:r w:rsidR="00784C38">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If the wicked one deserves to be beaten,</w:t>
      </w:r>
      <w:r w:rsidR="00784C38">
        <w:rPr>
          <w:rStyle w:val="EndnoteReference"/>
          <w:rFonts w:eastAsia="Segoe UI" w:cs="Arial"/>
        </w:rPr>
        <w:endnoteReference w:id="3"/>
      </w:r>
      <w:r>
        <w:rPr>
          <w:rFonts w:eastAsia="Segoe UI" w:cs="Arial"/>
        </w:rPr>
        <w:t xml:space="preserve"> the judge will have him lie down prostrate, and he will be beaten in his presence. The number of strokes should correspond to the wickedness of his deed. </w:t>
      </w:r>
      <w:r>
        <w:rPr>
          <w:rFonts w:eastAsia="Segoe UI" w:cs="Arial"/>
          <w:b/>
        </w:rPr>
        <w:t xml:space="preserve">3 </w:t>
      </w:r>
      <w:r>
        <w:rPr>
          <w:rFonts w:eastAsia="Segoe UI" w:cs="Arial"/>
        </w:rPr>
        <w:t>He may beat him with up to 40 strokes,</w:t>
      </w:r>
      <w:r w:rsidR="00784C38">
        <w:rPr>
          <w:rStyle w:val="EndnoteReference"/>
          <w:rFonts w:eastAsia="Segoe UI" w:cs="Arial"/>
        </w:rPr>
        <w:endnoteReference w:id="4"/>
      </w:r>
      <w:r>
        <w:rPr>
          <w:rFonts w:eastAsia="Segoe UI" w:cs="Arial"/>
        </w:rPr>
        <w:t xml:space="preserve"> but no more. If he would continue beating him with more strokes than this, your brother would be disgraced before your eyes.</w:t>
      </w:r>
    </w:p>
    <w:p w:rsidR="005B2EB7" w:rsidRDefault="005B2EB7" w:rsidP="005B2EB7">
      <w:pPr>
        <w:rPr>
          <w:rFonts w:ascii="MEPS Bookman WTS" w:eastAsia="Segoe UI" w:hAnsi="MEPS Bookman WTS" w:cs="Segoe UI"/>
        </w:rPr>
      </w:pPr>
      <w:r>
        <w:rPr>
          <w:rFonts w:eastAsia="Segoe UI" w:cs="Arial"/>
          <w:b/>
        </w:rPr>
        <w:t xml:space="preserve">4 </w:t>
      </w:r>
      <w:r>
        <w:rPr>
          <w:rFonts w:eastAsia="Segoe UI" w:cs="Arial"/>
        </w:rPr>
        <w:t>“You must not muzzle a bull when it is threshing out grain.</w:t>
      </w:r>
      <w:r w:rsidR="00784C38">
        <w:rPr>
          <w:rStyle w:val="EndnoteReference"/>
          <w:rFonts w:eastAsia="Segoe UI" w:cs="Arial"/>
        </w:rPr>
        <w:endnoteReference w:id="5"/>
      </w:r>
    </w:p>
    <w:p w:rsidR="005B2EB7" w:rsidRDefault="005B2EB7" w:rsidP="005B2EB7">
      <w:pPr>
        <w:rPr>
          <w:rFonts w:ascii="MEPS Bookman WTS" w:eastAsia="Segoe UI" w:hAnsi="MEPS Bookman WTS" w:cs="Segoe UI"/>
        </w:rPr>
      </w:pPr>
      <w:r>
        <w:rPr>
          <w:rFonts w:eastAsia="Segoe UI" w:cs="Arial"/>
          <w:b/>
        </w:rPr>
        <w:t xml:space="preserve">5 </w:t>
      </w:r>
      <w:r>
        <w:rPr>
          <w:rFonts w:eastAsia="Segoe UI" w:cs="Arial"/>
        </w:rPr>
        <w:t>“If brothers dwell together and one of them dies without having a son, the wife of the dead one should not marry someone from outside the family. Her brother-in-law should go to her, take her as his wife, and perform brother-in-law marriage with her.</w:t>
      </w:r>
      <w:r w:rsidR="00784C38">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6 </w:t>
      </w:r>
      <w:r>
        <w:rPr>
          <w:rFonts w:eastAsia="Segoe UI" w:cs="Arial"/>
        </w:rPr>
        <w:t>The firstborn whom she will bear will carry on the name of his dead brother,</w:t>
      </w:r>
      <w:r w:rsidR="00784C38">
        <w:rPr>
          <w:rStyle w:val="EndnoteReference"/>
          <w:rFonts w:eastAsia="Segoe UI" w:cs="Arial"/>
        </w:rPr>
        <w:endnoteReference w:id="7"/>
      </w:r>
      <w:r>
        <w:rPr>
          <w:rFonts w:eastAsia="Segoe UI" w:cs="Arial"/>
        </w:rPr>
        <w:t xml:space="preserve"> so that his name may not be wiped out of Israel.</w:t>
      </w:r>
      <w:r w:rsidR="00784C38">
        <w:rPr>
          <w:rStyle w:val="EndnoteReference"/>
          <w:rFonts w:eastAsia="Segoe UI" w:cs="Arial"/>
        </w:rPr>
        <w:endnoteReference w:id="8"/>
      </w:r>
    </w:p>
    <w:p w:rsidR="005B2EB7" w:rsidRDefault="005B2EB7" w:rsidP="005B2EB7">
      <w:pPr>
        <w:rPr>
          <w:rFonts w:eastAsia="Segoe UI" w:cs="Arial"/>
        </w:rPr>
      </w:pPr>
      <w:r>
        <w:rPr>
          <w:rFonts w:eastAsia="Segoe UI" w:cs="Arial"/>
          <w:b/>
        </w:rPr>
        <w:t xml:space="preserve">7 </w:t>
      </w:r>
      <w:r>
        <w:rPr>
          <w:rFonts w:eastAsia="Segoe UI" w:cs="Arial"/>
        </w:rPr>
        <w:t xml:space="preserve">“Now if the man does not want to marry his brother’s widow, his brother’s widow should then go to the elders at the city gate and say, ‘My husband’s brother has refused to preserve his brother’s name in Israel. He has not consented to perform brother-in-law marriage with me.’ </w:t>
      </w:r>
      <w:r>
        <w:rPr>
          <w:rFonts w:eastAsia="Segoe UI" w:cs="Arial"/>
          <w:b/>
        </w:rPr>
        <w:t xml:space="preserve">8 </w:t>
      </w:r>
      <w:r>
        <w:rPr>
          <w:rFonts w:eastAsia="Segoe UI" w:cs="Arial"/>
        </w:rPr>
        <w:t xml:space="preserve">The elders of his city must call him and speak to him. Should he insist and say, ‘I do not want to marry her,’ </w:t>
      </w:r>
      <w:r>
        <w:rPr>
          <w:rFonts w:eastAsia="Segoe UI" w:cs="Arial"/>
          <w:b/>
        </w:rPr>
        <w:t xml:space="preserve">9 </w:t>
      </w:r>
      <w:r>
        <w:rPr>
          <w:rFonts w:eastAsia="Segoe UI" w:cs="Arial"/>
        </w:rPr>
        <w:t>then his brother’s widow should approach him before the elders, remove his sandal from his foot,</w:t>
      </w:r>
      <w:r w:rsidR="00784C38">
        <w:rPr>
          <w:rStyle w:val="EndnoteReference"/>
          <w:rFonts w:eastAsia="Segoe UI" w:cs="Arial"/>
        </w:rPr>
        <w:endnoteReference w:id="9"/>
      </w:r>
      <w:r>
        <w:rPr>
          <w:rFonts w:eastAsia="Segoe UI" w:cs="Arial"/>
        </w:rPr>
        <w:t xml:space="preserve"> spit in his face, and say, ‘That is what should be done to the man who will not build up his brother’s household.’ </w:t>
      </w:r>
      <w:r>
        <w:rPr>
          <w:rFonts w:eastAsia="Segoe UI" w:cs="Arial"/>
          <w:b/>
        </w:rPr>
        <w:t xml:space="preserve">10 </w:t>
      </w:r>
      <w:r>
        <w:rPr>
          <w:rFonts w:eastAsia="Segoe UI" w:cs="Arial"/>
        </w:rPr>
        <w:t>After that his family name</w:t>
      </w:r>
      <w:r w:rsidR="00784C38">
        <w:rPr>
          <w:rStyle w:val="FootnoteReference"/>
          <w:rFonts w:eastAsia="Segoe UI" w:cs="Arial"/>
        </w:rPr>
        <w:footnoteReference w:id="1"/>
      </w:r>
      <w:r>
        <w:rPr>
          <w:rFonts w:eastAsia="Segoe UI" w:cs="Arial"/>
        </w:rPr>
        <w:t xml:space="preserve"> in Israel will be known as ‘The house of the one who had his sandal removed.’</w:t>
      </w:r>
    </w:p>
    <w:p w:rsidR="005B2EB7" w:rsidRDefault="005B2EB7" w:rsidP="005B2EB7">
      <w:pPr>
        <w:rPr>
          <w:rFonts w:eastAsia="Segoe UI" w:cs="Arial"/>
        </w:rPr>
      </w:pPr>
      <w:r>
        <w:rPr>
          <w:rFonts w:eastAsia="Segoe UI" w:cs="Arial"/>
          <w:b/>
        </w:rPr>
        <w:t xml:space="preserve">11 </w:t>
      </w:r>
      <w:r>
        <w:rPr>
          <w:rFonts w:eastAsia="Segoe UI" w:cs="Arial"/>
        </w:rPr>
        <w:t xml:space="preserve">“If two men get into a fight with each other and the wife of the one intervenes to protect her husband from the one striking him and she reaches out her hand and grabs hold of him by his private parts, </w:t>
      </w:r>
      <w:r>
        <w:rPr>
          <w:rFonts w:eastAsia="Segoe UI" w:cs="Arial"/>
          <w:b/>
        </w:rPr>
        <w:t xml:space="preserve">12 </w:t>
      </w:r>
      <w:r>
        <w:rPr>
          <w:rFonts w:eastAsia="Segoe UI" w:cs="Arial"/>
        </w:rPr>
        <w:t>you must amputate her hand. You</w:t>
      </w:r>
      <w:r w:rsidR="00784C38">
        <w:rPr>
          <w:rStyle w:val="FootnoteReference"/>
          <w:rFonts w:eastAsia="Segoe UI" w:cs="Arial"/>
        </w:rPr>
        <w:footnoteReference w:id="2"/>
      </w:r>
      <w:r>
        <w:rPr>
          <w:rFonts w:eastAsia="Segoe UI" w:cs="Arial"/>
        </w:rPr>
        <w:t xml:space="preserve"> should not feel sorry.</w:t>
      </w:r>
    </w:p>
    <w:p w:rsidR="005B2EB7" w:rsidRDefault="005B2EB7" w:rsidP="005B2EB7">
      <w:pPr>
        <w:rPr>
          <w:rFonts w:ascii="MEPS Bookman WTS" w:eastAsia="Segoe UI" w:hAnsi="MEPS Bookman WTS" w:cs="Segoe UI"/>
        </w:rPr>
      </w:pPr>
      <w:r>
        <w:rPr>
          <w:rFonts w:eastAsia="Segoe UI" w:cs="Arial"/>
          <w:b/>
        </w:rPr>
        <w:t xml:space="preserve">13 </w:t>
      </w:r>
      <w:r>
        <w:rPr>
          <w:rFonts w:eastAsia="Segoe UI" w:cs="Arial"/>
        </w:rPr>
        <w:t>“You must not have in your bag two different stone weights,</w:t>
      </w:r>
      <w:r w:rsidR="00784C38">
        <w:rPr>
          <w:rStyle w:val="EndnoteReference"/>
          <w:rFonts w:eastAsia="Segoe UI" w:cs="Arial"/>
        </w:rPr>
        <w:endnoteReference w:id="10"/>
      </w:r>
      <w:r>
        <w:rPr>
          <w:rFonts w:eastAsia="Segoe UI" w:cs="Arial"/>
        </w:rPr>
        <w:t xml:space="preserve"> a large one and a small one. </w:t>
      </w:r>
      <w:r>
        <w:rPr>
          <w:rFonts w:eastAsia="Segoe UI" w:cs="Arial"/>
          <w:b/>
        </w:rPr>
        <w:t xml:space="preserve">14 </w:t>
      </w:r>
      <w:r>
        <w:rPr>
          <w:rFonts w:eastAsia="Segoe UI" w:cs="Arial"/>
        </w:rPr>
        <w:t>You must not have in your house two different measuring containers,</w:t>
      </w:r>
      <w:r w:rsidR="00784C38">
        <w:rPr>
          <w:rStyle w:val="FootnoteReference"/>
          <w:rFonts w:eastAsia="Segoe UI" w:cs="Arial"/>
        </w:rPr>
        <w:footnoteReference w:id="3"/>
      </w:r>
      <w:r w:rsidR="00784C38">
        <w:rPr>
          <w:rStyle w:val="EndnoteReference"/>
          <w:rFonts w:eastAsia="Segoe UI" w:cs="Arial"/>
        </w:rPr>
        <w:endnoteReference w:id="11"/>
      </w:r>
      <w:r>
        <w:rPr>
          <w:rFonts w:eastAsia="Segoe UI" w:cs="Arial"/>
        </w:rPr>
        <w:t xml:space="preserve"> a large one and a small one. </w:t>
      </w:r>
      <w:r>
        <w:rPr>
          <w:rFonts w:eastAsia="Segoe UI" w:cs="Arial"/>
          <w:b/>
        </w:rPr>
        <w:t xml:space="preserve">15 </w:t>
      </w:r>
      <w:r>
        <w:rPr>
          <w:rFonts w:eastAsia="Segoe UI" w:cs="Arial"/>
        </w:rPr>
        <w:t>You should keep an accurate and honest weight and an accurate and honest measure, so that you will live long in the land that Jehovah your God is giving you.</w:t>
      </w:r>
      <w:r w:rsidR="00784C38">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16 </w:t>
      </w:r>
      <w:r>
        <w:rPr>
          <w:rFonts w:eastAsia="Segoe UI" w:cs="Arial"/>
        </w:rPr>
        <w:t>For every unjust person who does such things is detestable to Jehovah your God.</w:t>
      </w:r>
      <w:r w:rsidR="00784C38">
        <w:rPr>
          <w:rStyle w:val="EndnoteReference"/>
          <w:rFonts w:eastAsia="Segoe UI" w:cs="Arial"/>
        </w:rPr>
        <w:endnoteReference w:id="13"/>
      </w:r>
    </w:p>
    <w:p w:rsidR="005B2EB7" w:rsidRDefault="005B2EB7" w:rsidP="005B2EB7">
      <w:pPr>
        <w:rPr>
          <w:rFonts w:eastAsia="Segoe UI" w:cs="Arial"/>
        </w:rPr>
      </w:pPr>
      <w:r>
        <w:rPr>
          <w:rFonts w:eastAsia="Segoe UI" w:cs="Arial"/>
          <w:b/>
        </w:rPr>
        <w:t xml:space="preserve">17 </w:t>
      </w:r>
      <w:r>
        <w:rPr>
          <w:rFonts w:eastAsia="Segoe UI" w:cs="Arial"/>
        </w:rPr>
        <w:t>“Remember what Am′a·lek did to you on the way as you were coming out of Egypt,</w:t>
      </w:r>
      <w:r w:rsidR="00784C38">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18 </w:t>
      </w:r>
      <w:r>
        <w:rPr>
          <w:rFonts w:eastAsia="Segoe UI" w:cs="Arial"/>
        </w:rPr>
        <w:t xml:space="preserve">how he met you along the way and attacked all those straggling behind you when you were exhausted and weary. He did not fear God. </w:t>
      </w:r>
      <w:r>
        <w:rPr>
          <w:rFonts w:eastAsia="Segoe UI" w:cs="Arial"/>
          <w:b/>
        </w:rPr>
        <w:t xml:space="preserve">19 </w:t>
      </w:r>
      <w:r>
        <w:rPr>
          <w:rFonts w:eastAsia="Segoe UI" w:cs="Arial"/>
        </w:rPr>
        <w:t>When Jehovah your God has given you rest from all your enemies around you in the land that Jehovah your God is giving you as an inheritance to possess,</w:t>
      </w:r>
      <w:r w:rsidR="00784C38">
        <w:rPr>
          <w:rStyle w:val="EndnoteReference"/>
          <w:rFonts w:eastAsia="Segoe UI" w:cs="Arial"/>
        </w:rPr>
        <w:endnoteReference w:id="15"/>
      </w:r>
      <w:r>
        <w:rPr>
          <w:rFonts w:eastAsia="Segoe UI" w:cs="Arial"/>
        </w:rPr>
        <w:t xml:space="preserve"> you should wipe out the mention of Am′a·lek from under the heavens.</w:t>
      </w:r>
      <w:r w:rsidR="00784C38">
        <w:rPr>
          <w:rStyle w:val="EndnoteReference"/>
          <w:rFonts w:eastAsia="Segoe UI" w:cs="Arial"/>
        </w:rPr>
        <w:endnoteReference w:id="16"/>
      </w:r>
      <w:r>
        <w:rPr>
          <w:rFonts w:eastAsia="Segoe UI" w:cs="Arial"/>
        </w:rPr>
        <w:t xml:space="preserve"> You must not forget.</w:t>
      </w:r>
    </w:p>
    <w:p w:rsidR="00762BCB" w:rsidRPr="005B2EB7" w:rsidRDefault="00762BCB" w:rsidP="005B2EB7"/>
    <w:sectPr w:rsidR="00762BCB" w:rsidRPr="005B2EB7"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0241" w:rsidRDefault="00210241">
      <w:r>
        <w:separator/>
      </w:r>
    </w:p>
  </w:endnote>
  <w:endnote w:type="continuationSeparator" w:id="0">
    <w:p w:rsidR="00210241" w:rsidRDefault="00210241">
      <w:r>
        <w:continuationSeparator/>
      </w:r>
    </w:p>
  </w:endnote>
  <w:endnote w:id="1">
    <w:p w:rsidR="00784C38" w:rsidRDefault="00784C38">
      <w:pPr>
        <w:pStyle w:val="EndnoteText"/>
      </w:pPr>
      <w:r>
        <w:rPr>
          <w:rStyle w:val="EndnoteReference"/>
        </w:rPr>
        <w:endnoteRef/>
      </w:r>
      <w:r>
        <w:t xml:space="preserve"> Deuteronomy 16:18; 17:8, 9; 19:16, 17</w:t>
      </w:r>
    </w:p>
  </w:endnote>
  <w:endnote w:id="2">
    <w:p w:rsidR="00784C38" w:rsidRDefault="00784C38">
      <w:pPr>
        <w:pStyle w:val="EndnoteText"/>
      </w:pPr>
      <w:r>
        <w:rPr>
          <w:rStyle w:val="EndnoteReference"/>
        </w:rPr>
        <w:endnoteRef/>
      </w:r>
      <w:r>
        <w:t xml:space="preserve"> Exodus 23:6; 2 Chronicles 19:6; Proverbs 17:15; 31:9</w:t>
      </w:r>
    </w:p>
  </w:endnote>
  <w:endnote w:id="3">
    <w:p w:rsidR="00784C38" w:rsidRDefault="00784C38">
      <w:pPr>
        <w:pStyle w:val="EndnoteText"/>
      </w:pPr>
      <w:r>
        <w:rPr>
          <w:rStyle w:val="EndnoteReference"/>
        </w:rPr>
        <w:endnoteRef/>
      </w:r>
      <w:r>
        <w:t xml:space="preserve"> Proverbs 10:13; 20:30; 26:3; Luke 12:48; Hebrews 2:2</w:t>
      </w:r>
    </w:p>
  </w:endnote>
  <w:endnote w:id="4">
    <w:p w:rsidR="00784C38" w:rsidRDefault="00784C38">
      <w:pPr>
        <w:pStyle w:val="EndnoteText"/>
      </w:pPr>
      <w:r>
        <w:rPr>
          <w:rStyle w:val="EndnoteReference"/>
        </w:rPr>
        <w:endnoteRef/>
      </w:r>
      <w:r>
        <w:t xml:space="preserve"> 2 Corinthians 11:24</w:t>
      </w:r>
    </w:p>
  </w:endnote>
  <w:endnote w:id="5">
    <w:p w:rsidR="00784C38" w:rsidRDefault="00784C38">
      <w:pPr>
        <w:pStyle w:val="EndnoteText"/>
      </w:pPr>
      <w:r>
        <w:rPr>
          <w:rStyle w:val="EndnoteReference"/>
        </w:rPr>
        <w:endnoteRef/>
      </w:r>
      <w:r>
        <w:t xml:space="preserve"> Proverbs 12:10; 1 Corinthians 9:9; 1 Timothy 5:18</w:t>
      </w:r>
    </w:p>
  </w:endnote>
  <w:endnote w:id="6">
    <w:p w:rsidR="00784C38" w:rsidRDefault="00784C38">
      <w:pPr>
        <w:pStyle w:val="EndnoteText"/>
      </w:pPr>
      <w:r>
        <w:rPr>
          <w:rStyle w:val="EndnoteReference"/>
        </w:rPr>
        <w:endnoteRef/>
      </w:r>
      <w:r>
        <w:t xml:space="preserve"> Genesis 38:7, 8; Ruth 4:5; Mark 12:19</w:t>
      </w:r>
    </w:p>
  </w:endnote>
  <w:endnote w:id="7">
    <w:p w:rsidR="00784C38" w:rsidRDefault="00784C38">
      <w:pPr>
        <w:pStyle w:val="EndnoteText"/>
      </w:pPr>
      <w:r>
        <w:rPr>
          <w:rStyle w:val="EndnoteReference"/>
        </w:rPr>
        <w:endnoteRef/>
      </w:r>
      <w:r>
        <w:t xml:space="preserve"> Genesis 38:9; Ruth 4:10, 17</w:t>
      </w:r>
    </w:p>
  </w:endnote>
  <w:endnote w:id="8">
    <w:p w:rsidR="00784C38" w:rsidRDefault="00784C38">
      <w:pPr>
        <w:pStyle w:val="EndnoteText"/>
      </w:pPr>
      <w:r>
        <w:rPr>
          <w:rStyle w:val="EndnoteReference"/>
        </w:rPr>
        <w:endnoteRef/>
      </w:r>
      <w:r>
        <w:t xml:space="preserve"> Numbers 27:1, 4</w:t>
      </w:r>
    </w:p>
  </w:endnote>
  <w:endnote w:id="9">
    <w:p w:rsidR="00784C38" w:rsidRDefault="00784C38">
      <w:pPr>
        <w:pStyle w:val="EndnoteText"/>
      </w:pPr>
      <w:r>
        <w:rPr>
          <w:rStyle w:val="EndnoteReference"/>
        </w:rPr>
        <w:endnoteRef/>
      </w:r>
      <w:r>
        <w:t xml:space="preserve"> Ruth 4:7</w:t>
      </w:r>
    </w:p>
  </w:endnote>
  <w:endnote w:id="10">
    <w:p w:rsidR="00784C38" w:rsidRDefault="00784C38">
      <w:pPr>
        <w:pStyle w:val="EndnoteText"/>
      </w:pPr>
      <w:r>
        <w:rPr>
          <w:rStyle w:val="EndnoteReference"/>
        </w:rPr>
        <w:endnoteRef/>
      </w:r>
      <w:r>
        <w:t xml:space="preserve"> Proverbs 11:1; 20:10; Micah 6:11</w:t>
      </w:r>
    </w:p>
  </w:endnote>
  <w:endnote w:id="11">
    <w:p w:rsidR="00784C38" w:rsidRDefault="00784C38">
      <w:pPr>
        <w:pStyle w:val="EndnoteText"/>
      </w:pPr>
      <w:r>
        <w:rPr>
          <w:rStyle w:val="EndnoteReference"/>
        </w:rPr>
        <w:endnoteRef/>
      </w:r>
      <w:r>
        <w:t xml:space="preserve"> Leviticus 19:36</w:t>
      </w:r>
    </w:p>
  </w:endnote>
  <w:endnote w:id="12">
    <w:p w:rsidR="00784C38" w:rsidRDefault="00784C38">
      <w:pPr>
        <w:pStyle w:val="EndnoteText"/>
      </w:pPr>
      <w:r>
        <w:rPr>
          <w:rStyle w:val="EndnoteReference"/>
        </w:rPr>
        <w:endnoteRef/>
      </w:r>
      <w:r>
        <w:t xml:space="preserve"> Deuteronomy 4:40</w:t>
      </w:r>
    </w:p>
  </w:endnote>
  <w:endnote w:id="13">
    <w:p w:rsidR="00784C38" w:rsidRDefault="00784C38">
      <w:pPr>
        <w:pStyle w:val="EndnoteText"/>
      </w:pPr>
      <w:r>
        <w:rPr>
          <w:rStyle w:val="EndnoteReference"/>
        </w:rPr>
        <w:endnoteRef/>
      </w:r>
      <w:r>
        <w:t xml:space="preserve"> Leviticus 19:35</w:t>
      </w:r>
    </w:p>
  </w:endnote>
  <w:endnote w:id="14">
    <w:p w:rsidR="00784C38" w:rsidRDefault="00784C38">
      <w:pPr>
        <w:pStyle w:val="EndnoteText"/>
      </w:pPr>
      <w:r>
        <w:rPr>
          <w:rStyle w:val="EndnoteReference"/>
        </w:rPr>
        <w:endnoteRef/>
      </w:r>
      <w:r>
        <w:t xml:space="preserve"> Exodus 17:8; Numbers 24:20</w:t>
      </w:r>
    </w:p>
  </w:endnote>
  <w:endnote w:id="15">
    <w:p w:rsidR="00784C38" w:rsidRDefault="00784C38">
      <w:pPr>
        <w:pStyle w:val="EndnoteText"/>
      </w:pPr>
      <w:r>
        <w:rPr>
          <w:rStyle w:val="EndnoteReference"/>
        </w:rPr>
        <w:endnoteRef/>
      </w:r>
      <w:r>
        <w:t xml:space="preserve"> Joshua 22:4</w:t>
      </w:r>
    </w:p>
  </w:endnote>
  <w:endnote w:id="16">
    <w:p w:rsidR="00784C38" w:rsidRDefault="00784C38">
      <w:pPr>
        <w:pStyle w:val="EndnoteText"/>
      </w:pPr>
      <w:r>
        <w:rPr>
          <w:rStyle w:val="EndnoteReference"/>
        </w:rPr>
        <w:endnoteRef/>
      </w:r>
      <w:r>
        <w:t xml:space="preserve"> Exodus 17:14; 1 Samuel 14:47, 48; 15:1-3; 1 Chronicles 4:42, 43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0241" w:rsidRDefault="00210241">
      <w:r>
        <w:separator/>
      </w:r>
    </w:p>
  </w:footnote>
  <w:footnote w:type="continuationSeparator" w:id="0">
    <w:p w:rsidR="00210241" w:rsidRDefault="00210241">
      <w:r>
        <w:continuationSeparator/>
      </w:r>
    </w:p>
  </w:footnote>
  <w:footnote w:id="1">
    <w:p w:rsidR="00784C38" w:rsidRDefault="00784C38">
      <w:pPr>
        <w:pStyle w:val="FootnoteText"/>
      </w:pPr>
      <w:r>
        <w:rPr>
          <w:rStyle w:val="FootnoteReference"/>
        </w:rPr>
        <w:footnoteRef/>
      </w:r>
      <w:r>
        <w:t xml:space="preserve"> </w:t>
      </w:r>
      <w:r>
        <w:t>Or “the name of his household.” Lit., “his name.”</w:t>
      </w:r>
    </w:p>
  </w:footnote>
  <w:footnote w:id="2">
    <w:p w:rsidR="00784C38" w:rsidRDefault="00784C38">
      <w:pPr>
        <w:pStyle w:val="FootnoteText"/>
      </w:pPr>
      <w:r>
        <w:rPr>
          <w:rStyle w:val="FootnoteReference"/>
        </w:rPr>
        <w:footnoteRef/>
      </w:r>
      <w:r>
        <w:t xml:space="preserve"> </w:t>
      </w:r>
      <w:r>
        <w:t>Lit., “Your eye.”</w:t>
      </w:r>
    </w:p>
  </w:footnote>
  <w:footnote w:id="3">
    <w:p w:rsidR="00784C38" w:rsidRDefault="00784C38">
      <w:pPr>
        <w:pStyle w:val="FootnoteText"/>
      </w:pPr>
      <w:r>
        <w:rPr>
          <w:rStyle w:val="FootnoteReference"/>
        </w:rPr>
        <w:footnoteRef/>
      </w:r>
      <w:r>
        <w:t xml:space="preserve"> </w:t>
      </w:r>
      <w:r>
        <w:t>Lit., “in your house an ephah and an ephah.” See App. B14.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84C38">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784C38">
        <w:t>Deuteronomy Chapter 25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84C38">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84C38">
      <w:rPr>
        <w:noProof/>
        <w:snapToGrid w:val="0"/>
      </w:rPr>
      <w:t>Deuteronomy 25.Advisor.docx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784C38">
        <w:t>Deuteronomy Chapter 25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84C38">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84C38">
      <w:rPr>
        <w:noProof/>
        <w:snapToGrid w:val="0"/>
      </w:rPr>
      <w:t>Deuteronomy 25.Advisor.docx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84C38">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84C38">
      <w:t>&lt;not set&gt;</w:t>
    </w:r>
    <w:r>
      <w:fldChar w:fldCharType="end"/>
    </w:r>
    <w:r>
      <w:tab/>
      <w:t xml:space="preserve">Checker: </w:t>
    </w:r>
    <w:r>
      <w:fldChar w:fldCharType="begin"/>
    </w:r>
    <w:r>
      <w:instrText xml:space="preserve"> DOCPROPERTY "_RoleChecker" </w:instrText>
    </w:r>
    <w:r>
      <w:fldChar w:fldCharType="separate"/>
    </w:r>
    <w:r w:rsidR="00784C38">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84C38">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241"/>
    <w:rsid w:val="00210241"/>
    <w:rsid w:val="00245EDD"/>
    <w:rsid w:val="0026230D"/>
    <w:rsid w:val="002B524D"/>
    <w:rsid w:val="002C00A8"/>
    <w:rsid w:val="00310508"/>
    <w:rsid w:val="003B380B"/>
    <w:rsid w:val="004500A2"/>
    <w:rsid w:val="004B7393"/>
    <w:rsid w:val="004C5EB7"/>
    <w:rsid w:val="005B2EB7"/>
    <w:rsid w:val="005D4494"/>
    <w:rsid w:val="005F29B7"/>
    <w:rsid w:val="006634F9"/>
    <w:rsid w:val="00683A19"/>
    <w:rsid w:val="006B2E68"/>
    <w:rsid w:val="006D0A9F"/>
    <w:rsid w:val="006E0169"/>
    <w:rsid w:val="0075006C"/>
    <w:rsid w:val="00762BCB"/>
    <w:rsid w:val="00784C38"/>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c414bf17834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84C38"/>
    <w:pPr>
      <w:spacing w:line="240" w:lineRule="auto"/>
    </w:pPr>
    <w:rPr>
      <w:sz w:val="20"/>
      <w:szCs w:val="20"/>
    </w:rPr>
  </w:style>
  <w:style w:type="character" w:customStyle="1" w:styleId="FootnoteTextChar">
    <w:name w:val="Footnote Text Char"/>
    <w:basedOn w:val="DefaultParagraphFont"/>
    <w:link w:val="FootnoteText"/>
    <w:rsid w:val="00784C38"/>
    <w:rPr>
      <w:rFonts w:ascii="Arial" w:eastAsia="Times New Roman" w:hAnsi="Arial" w:cs="Latha"/>
      <w:lang w:val="en-US" w:eastAsia="en-US" w:bidi="ta-IN"/>
    </w:rPr>
  </w:style>
  <w:style w:type="character" w:styleId="FootnoteReference">
    <w:name w:val="footnote reference"/>
    <w:basedOn w:val="DefaultParagraphFont"/>
    <w:rsid w:val="00784C38"/>
    <w:rPr>
      <w:vertAlign w:val="superscript"/>
    </w:rPr>
  </w:style>
  <w:style w:type="paragraph" w:styleId="EndnoteText">
    <w:name w:val="endnote text"/>
    <w:basedOn w:val="Normal"/>
    <w:link w:val="EndnoteTextChar"/>
    <w:rsid w:val="00784C38"/>
    <w:pPr>
      <w:spacing w:line="240" w:lineRule="auto"/>
    </w:pPr>
    <w:rPr>
      <w:sz w:val="20"/>
      <w:szCs w:val="20"/>
    </w:rPr>
  </w:style>
  <w:style w:type="character" w:customStyle="1" w:styleId="EndnoteTextChar">
    <w:name w:val="Endnote Text Char"/>
    <w:basedOn w:val="DefaultParagraphFont"/>
    <w:link w:val="EndnoteText"/>
    <w:rsid w:val="00784C38"/>
    <w:rPr>
      <w:rFonts w:ascii="Arial" w:eastAsia="Times New Roman" w:hAnsi="Arial" w:cs="Latha"/>
      <w:lang w:val="en-US" w:eastAsia="en-US" w:bidi="ta-IN"/>
    </w:rPr>
  </w:style>
  <w:style w:type="character" w:styleId="EndnoteReference">
    <w:name w:val="endnote reference"/>
    <w:basedOn w:val="DefaultParagraphFont"/>
    <w:rsid w:val="00784C3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84C38"/>
    <w:pPr>
      <w:spacing w:line="240" w:lineRule="auto"/>
    </w:pPr>
    <w:rPr>
      <w:sz w:val="20"/>
      <w:szCs w:val="20"/>
    </w:rPr>
  </w:style>
  <w:style w:type="character" w:customStyle="1" w:styleId="FootnoteTextChar">
    <w:name w:val="Footnote Text Char"/>
    <w:basedOn w:val="DefaultParagraphFont"/>
    <w:link w:val="FootnoteText"/>
    <w:rsid w:val="00784C38"/>
    <w:rPr>
      <w:rFonts w:ascii="Arial" w:eastAsia="Times New Roman" w:hAnsi="Arial" w:cs="Latha"/>
      <w:lang w:val="en-US" w:eastAsia="en-US" w:bidi="ta-IN"/>
    </w:rPr>
  </w:style>
  <w:style w:type="character" w:styleId="FootnoteReference">
    <w:name w:val="footnote reference"/>
    <w:basedOn w:val="DefaultParagraphFont"/>
    <w:rsid w:val="00784C38"/>
    <w:rPr>
      <w:vertAlign w:val="superscript"/>
    </w:rPr>
  </w:style>
  <w:style w:type="paragraph" w:styleId="EndnoteText">
    <w:name w:val="endnote text"/>
    <w:basedOn w:val="Normal"/>
    <w:link w:val="EndnoteTextChar"/>
    <w:rsid w:val="00784C38"/>
    <w:pPr>
      <w:spacing w:line="240" w:lineRule="auto"/>
    </w:pPr>
    <w:rPr>
      <w:sz w:val="20"/>
      <w:szCs w:val="20"/>
    </w:rPr>
  </w:style>
  <w:style w:type="character" w:customStyle="1" w:styleId="EndnoteTextChar">
    <w:name w:val="Endnote Text Char"/>
    <w:basedOn w:val="DefaultParagraphFont"/>
    <w:link w:val="EndnoteText"/>
    <w:rsid w:val="00784C38"/>
    <w:rPr>
      <w:rFonts w:ascii="Arial" w:eastAsia="Times New Roman" w:hAnsi="Arial" w:cs="Latha"/>
      <w:lang w:val="en-US" w:eastAsia="en-US" w:bidi="ta-IN"/>
    </w:rPr>
  </w:style>
  <w:style w:type="character" w:styleId="EndnoteReference">
    <w:name w:val="endnote reference"/>
    <w:basedOn w:val="DefaultParagraphFont"/>
    <w:rsid w:val="00784C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c414bf1783448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547</ap:Words>
  <ap:Characters>2332</ap:Characters>
  <ap:Application>Microsoft Office Word</ap:Application>
  <ap:DocSecurity>0</ap:DocSecurity>
  <ap:Lines>38</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2871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25</dc:title>
  <dc:subject/>
  <dc:creator>David Waterson</dc:creator>
  <cp:keywords/>
  <dc:description/>
  <cp:lastModifiedBy>David Waterson</cp:lastModifiedBy>
  <cp:revision>3</cp:revision>
  <dcterms:created xsi:type="dcterms:W3CDTF">2019-08-04T14:31:00Z</dcterms:created>
  <dcterms:modified xsi:type="dcterms:W3CDTF">2019-08-04T14:32:00Z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25.docx</vt:lpwstr>
  </property>
  <property fmtid="{D5CDD505-2E9C-101B-9397-08002B2CF9AE}" pid="9" name="_TranslationDocumentId">
    <vt:i4>19508</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