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DDF" w:rsidRDefault="00174DDF" w:rsidP="00174DDF">
      <w:pPr>
        <w:rPr>
          <w:rFonts w:eastAsia="Segoe UI" w:cs="Arial"/>
        </w:rPr>
      </w:pPr>
      <w:bookmarkStart w:id="0" w:name="_GoBack"/>
      <w:bookmarkEnd w:id="0"/>
      <w:r>
        <w:rPr>
          <w:rFonts w:eastAsia="Segoe UI" w:cs="Arial"/>
          <w:b/>
        </w:rPr>
        <w:t xml:space="preserve">15:1 </w:t>
      </w:r>
      <w:r>
        <w:rPr>
          <w:rFonts w:eastAsia="Segoe UI" w:cs="Arial"/>
        </w:rPr>
        <w:t xml:space="preserve">Jehovah continued to speak to Moses and Aaron, saying: </w:t>
      </w:r>
      <w:r>
        <w:rPr>
          <w:rFonts w:eastAsia="Segoe UI" w:cs="Arial"/>
          <w:b/>
        </w:rPr>
        <w:t xml:space="preserve">2 </w:t>
      </w:r>
      <w:r>
        <w:rPr>
          <w:rFonts w:eastAsia="Segoe UI" w:cs="Arial"/>
        </w:rPr>
        <w:t>“Speak to the Israelites and tell them, ‘If a man has a discharge from his genital organ,</w:t>
      </w:r>
      <w:r w:rsidR="00495DED">
        <w:rPr>
          <w:rStyle w:val="FootnoteReference"/>
          <w:rFonts w:eastAsia="Segoe UI" w:cs="Arial"/>
        </w:rPr>
        <w:footnoteReference w:id="1"/>
      </w:r>
      <w:r>
        <w:rPr>
          <w:rFonts w:eastAsia="Segoe UI" w:cs="Arial"/>
        </w:rPr>
        <w:t xml:space="preserve"> this discharge makes him unclean.</w:t>
      </w:r>
      <w:r w:rsidR="00495DED">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3 </w:t>
      </w:r>
      <w:r>
        <w:rPr>
          <w:rFonts w:eastAsia="Segoe UI" w:cs="Arial"/>
        </w:rPr>
        <w:t>He is unclean from the discharge, whether the discharge continues to flow from his genitals or is obstructed, he is still unclean.</w:t>
      </w:r>
    </w:p>
    <w:p w:rsidR="00174DDF" w:rsidRDefault="00174DDF" w:rsidP="00174DDF">
      <w:pPr>
        <w:rPr>
          <w:rFonts w:ascii="MEPS Bookman WTS" w:eastAsia="Segoe UI" w:hAnsi="MEPS Bookman WTS" w:cs="Segoe UI"/>
        </w:rPr>
      </w:pPr>
      <w:r>
        <w:rPr>
          <w:rFonts w:eastAsia="Segoe UI" w:cs="Arial"/>
          <w:b/>
        </w:rPr>
        <w:t xml:space="preserve">4 </w:t>
      </w:r>
      <w:r>
        <w:rPr>
          <w:rFonts w:eastAsia="Segoe UI" w:cs="Arial"/>
        </w:rPr>
        <w:t xml:space="preserve">“‘Any bed that the one with the discharge lies on will be unclean, and anything he sits on will be unclean. </w:t>
      </w:r>
      <w:r>
        <w:rPr>
          <w:rFonts w:eastAsia="Segoe UI" w:cs="Arial"/>
          <w:b/>
        </w:rPr>
        <w:t xml:space="preserve">5 </w:t>
      </w:r>
      <w:r>
        <w:rPr>
          <w:rFonts w:eastAsia="Segoe UI" w:cs="Arial"/>
        </w:rPr>
        <w:t>A man who touches his bed must wash his garments, and he should bathe in water and be unclean until the evening.</w:t>
      </w:r>
      <w:r w:rsidR="00495DED">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6 </w:t>
      </w:r>
      <w:r>
        <w:rPr>
          <w:rFonts w:eastAsia="Segoe UI" w:cs="Arial"/>
        </w:rPr>
        <w:t xml:space="preserve">Anyone who sits on an article that the one having a discharge sat on should wash his garments, bathe in water, and be unclean until the evening. </w:t>
      </w:r>
      <w:r>
        <w:rPr>
          <w:rFonts w:eastAsia="Segoe UI" w:cs="Arial"/>
          <w:b/>
        </w:rPr>
        <w:t xml:space="preserve">7 </w:t>
      </w:r>
      <w:r>
        <w:rPr>
          <w:rFonts w:eastAsia="Segoe UI" w:cs="Arial"/>
        </w:rPr>
        <w:t xml:space="preserve">Whoever touches the flesh of the one having a discharge should wash his garments, bathe in water, and be unclean until the evening. </w:t>
      </w:r>
      <w:r>
        <w:rPr>
          <w:rFonts w:eastAsia="Segoe UI" w:cs="Arial"/>
          <w:b/>
        </w:rPr>
        <w:t xml:space="preserve">8 </w:t>
      </w:r>
      <w:r>
        <w:rPr>
          <w:rFonts w:eastAsia="Segoe UI" w:cs="Arial"/>
        </w:rPr>
        <w:t xml:space="preserve">If the one who has a discharge spits on someone clean, that person must wash his garments, bathe in water, and be unclean until the evening. </w:t>
      </w:r>
      <w:r>
        <w:rPr>
          <w:rFonts w:eastAsia="Segoe UI" w:cs="Arial"/>
          <w:b/>
        </w:rPr>
        <w:t xml:space="preserve">9 </w:t>
      </w:r>
      <w:r>
        <w:rPr>
          <w:rFonts w:eastAsia="Segoe UI" w:cs="Arial"/>
        </w:rPr>
        <w:t xml:space="preserve">Any saddle that the one with the discharge rides on will be unclean. </w:t>
      </w:r>
      <w:r>
        <w:rPr>
          <w:rFonts w:eastAsia="Segoe UI" w:cs="Arial"/>
          <w:b/>
        </w:rPr>
        <w:t xml:space="preserve">10 </w:t>
      </w:r>
      <w:r>
        <w:rPr>
          <w:rFonts w:eastAsia="Segoe UI" w:cs="Arial"/>
        </w:rPr>
        <w:t xml:space="preserve">Anyone touching anything that was under him will be unclean until the evening, and anyone who carries those items will wash his garments, bathe in water, and be unclean until the evening. </w:t>
      </w:r>
      <w:r>
        <w:rPr>
          <w:rFonts w:eastAsia="Segoe UI" w:cs="Arial"/>
          <w:b/>
        </w:rPr>
        <w:t xml:space="preserve">11 </w:t>
      </w:r>
      <w:r>
        <w:rPr>
          <w:rFonts w:eastAsia="Segoe UI" w:cs="Arial"/>
        </w:rPr>
        <w:t>If the one with the discharge</w:t>
      </w:r>
      <w:r w:rsidR="00495DED">
        <w:rPr>
          <w:rStyle w:val="EndnoteReference"/>
          <w:rFonts w:eastAsia="Segoe UI" w:cs="Arial"/>
        </w:rPr>
        <w:endnoteReference w:id="3"/>
      </w:r>
      <w:r>
        <w:rPr>
          <w:rFonts w:eastAsia="Segoe UI" w:cs="Arial"/>
        </w:rPr>
        <w:t xml:space="preserve"> has not washed his hands in water and he touches someone, that person must then wash his garments, bathe in water, and be unclean until the evening. </w:t>
      </w:r>
      <w:r>
        <w:rPr>
          <w:rFonts w:eastAsia="Segoe UI" w:cs="Arial"/>
          <w:b/>
        </w:rPr>
        <w:t xml:space="preserve">12 </w:t>
      </w:r>
      <w:r>
        <w:rPr>
          <w:rFonts w:eastAsia="Segoe UI" w:cs="Arial"/>
        </w:rPr>
        <w:t>An earthenware vessel that the one having a discharge touches should be smashed, and any wooden vessel should be washed with water.</w:t>
      </w:r>
      <w:r w:rsidR="00495DED">
        <w:rPr>
          <w:rStyle w:val="EndnoteReference"/>
          <w:rFonts w:eastAsia="Segoe UI" w:cs="Arial"/>
        </w:rPr>
        <w:endnoteReference w:id="4"/>
      </w:r>
    </w:p>
    <w:p w:rsidR="00174DDF" w:rsidRDefault="00174DDF" w:rsidP="00174DDF">
      <w:pPr>
        <w:rPr>
          <w:rFonts w:eastAsia="Segoe UI" w:cs="Arial"/>
        </w:rPr>
      </w:pPr>
      <w:r>
        <w:rPr>
          <w:rFonts w:eastAsia="Segoe UI" w:cs="Arial"/>
          <w:b/>
        </w:rPr>
        <w:t xml:space="preserve">13 </w:t>
      </w:r>
      <w:r>
        <w:rPr>
          <w:rFonts w:eastAsia="Segoe UI" w:cs="Arial"/>
        </w:rPr>
        <w:t>“‘When the discharge stops and the person becomes clean from it, he will then count seven days for his purification, and he must wash his garments, bathe himself in running water, and he will be clean.</w:t>
      </w:r>
      <w:r w:rsidR="00495DED">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14 </w:t>
      </w:r>
      <w:r>
        <w:rPr>
          <w:rFonts w:eastAsia="Segoe UI" w:cs="Arial"/>
        </w:rPr>
        <w:t>On the eighth day, he should take two turtledoves or two young pigeons</w:t>
      </w:r>
      <w:r w:rsidR="00495DED">
        <w:rPr>
          <w:rStyle w:val="EndnoteReference"/>
          <w:rFonts w:eastAsia="Segoe UI" w:cs="Arial"/>
        </w:rPr>
        <w:endnoteReference w:id="6"/>
      </w:r>
      <w:r>
        <w:rPr>
          <w:rFonts w:eastAsia="Segoe UI" w:cs="Arial"/>
        </w:rPr>
        <w:t xml:space="preserve"> and come before Jehovah at the entrance of the tent of meeting and give them to the priest. </w:t>
      </w:r>
      <w:r>
        <w:rPr>
          <w:rFonts w:eastAsia="Segoe UI" w:cs="Arial"/>
          <w:b/>
        </w:rPr>
        <w:t xml:space="preserve">15 </w:t>
      </w:r>
      <w:r>
        <w:rPr>
          <w:rFonts w:eastAsia="Segoe UI" w:cs="Arial"/>
        </w:rPr>
        <w:t>And the priest will offer them, the one as a sin offering and the other as a burnt offering, and the priest will make atonement for him before Jehovah concerning his discharge.</w:t>
      </w:r>
    </w:p>
    <w:p w:rsidR="00174DDF" w:rsidRDefault="00174DDF" w:rsidP="00174DDF">
      <w:pPr>
        <w:rPr>
          <w:rFonts w:eastAsia="Segoe UI" w:cs="Arial"/>
        </w:rPr>
      </w:pPr>
      <w:r>
        <w:rPr>
          <w:rFonts w:eastAsia="Segoe UI" w:cs="Arial"/>
          <w:b/>
        </w:rPr>
        <w:t xml:space="preserve">16 </w:t>
      </w:r>
      <w:r>
        <w:rPr>
          <w:rFonts w:eastAsia="Segoe UI" w:cs="Arial"/>
        </w:rPr>
        <w:t>“‘Now if a man has an emission of semen, he should bathe his whole body in water and be unclean until the evening.</w:t>
      </w:r>
      <w:r w:rsidR="00495DED">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17 </w:t>
      </w:r>
      <w:r>
        <w:rPr>
          <w:rFonts w:eastAsia="Segoe UI" w:cs="Arial"/>
        </w:rPr>
        <w:t>He must wash with water any garment and any skin with semen on it, and it will be unclean until the evening.</w:t>
      </w:r>
    </w:p>
    <w:p w:rsidR="00174DDF" w:rsidRDefault="00174DDF" w:rsidP="00174DDF">
      <w:pPr>
        <w:rPr>
          <w:rFonts w:ascii="MEPS Bookman WTS" w:eastAsia="Segoe UI" w:hAnsi="MEPS Bookman WTS" w:cs="Segoe UI"/>
        </w:rPr>
      </w:pPr>
      <w:r>
        <w:rPr>
          <w:rFonts w:eastAsia="Segoe UI" w:cs="Arial"/>
          <w:b/>
        </w:rPr>
        <w:t xml:space="preserve">18 </w:t>
      </w:r>
      <w:r>
        <w:rPr>
          <w:rFonts w:eastAsia="Segoe UI" w:cs="Arial"/>
        </w:rPr>
        <w:t>“‘When a man lies with a woman and has an emission of semen, they should bathe in water and be unclean until the evening.</w:t>
      </w:r>
      <w:r w:rsidR="00495DED">
        <w:rPr>
          <w:rStyle w:val="EndnoteReference"/>
          <w:rFonts w:eastAsia="Segoe UI" w:cs="Arial"/>
        </w:rPr>
        <w:endnoteReference w:id="8"/>
      </w:r>
    </w:p>
    <w:p w:rsidR="00174DDF" w:rsidRDefault="00174DDF" w:rsidP="00174DDF">
      <w:pPr>
        <w:rPr>
          <w:rFonts w:eastAsia="Segoe UI" w:cs="Arial"/>
        </w:rPr>
      </w:pPr>
      <w:r>
        <w:rPr>
          <w:rFonts w:eastAsia="Segoe UI" w:cs="Arial"/>
          <w:b/>
        </w:rPr>
        <w:t xml:space="preserve">19 </w:t>
      </w:r>
      <w:r>
        <w:rPr>
          <w:rFonts w:eastAsia="Segoe UI" w:cs="Arial"/>
        </w:rPr>
        <w:t>“‘If a woman has a discharge of blood from her body, she will continue in her menstrual impurity for seven days.</w:t>
      </w:r>
      <w:r w:rsidR="00495DED">
        <w:rPr>
          <w:rStyle w:val="EndnoteReference"/>
          <w:rFonts w:eastAsia="Segoe UI" w:cs="Arial"/>
        </w:rPr>
        <w:endnoteReference w:id="9"/>
      </w:r>
      <w:r>
        <w:rPr>
          <w:rFonts w:eastAsia="Segoe UI" w:cs="Arial"/>
        </w:rPr>
        <w:t xml:space="preserve"> Anyone touching her will be unclean until the evening.</w:t>
      </w:r>
      <w:r w:rsidR="00495DED">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20 </w:t>
      </w:r>
      <w:r>
        <w:rPr>
          <w:rFonts w:eastAsia="Segoe UI" w:cs="Arial"/>
        </w:rPr>
        <w:t>Anything she lies down on in her menstrual impurity will be unclean, and everything she sits on will be unclean.</w:t>
      </w:r>
      <w:r w:rsidR="00495DED">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21 </w:t>
      </w:r>
      <w:r>
        <w:rPr>
          <w:rFonts w:eastAsia="Segoe UI" w:cs="Arial"/>
        </w:rPr>
        <w:t xml:space="preserve">Anyone touching her bed should wash his garments, bathe in water, and be unclean until the evening. </w:t>
      </w:r>
      <w:r>
        <w:rPr>
          <w:rFonts w:eastAsia="Segoe UI" w:cs="Arial"/>
          <w:b/>
        </w:rPr>
        <w:t xml:space="preserve">22 </w:t>
      </w:r>
      <w:r>
        <w:rPr>
          <w:rFonts w:eastAsia="Segoe UI" w:cs="Arial"/>
        </w:rPr>
        <w:t xml:space="preserve">Anyone touching any article she sat on should wash his garments, bathe in water, and be unclean until the evening. </w:t>
      </w:r>
      <w:r>
        <w:rPr>
          <w:rFonts w:eastAsia="Segoe UI" w:cs="Arial"/>
          <w:b/>
        </w:rPr>
        <w:t xml:space="preserve">23 </w:t>
      </w:r>
      <w:r>
        <w:rPr>
          <w:rFonts w:eastAsia="Segoe UI" w:cs="Arial"/>
        </w:rPr>
        <w:t>If she sat on the bed or on another article, his touching it will make him unclean until the evening.</w:t>
      </w:r>
      <w:r w:rsidR="00495DED">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24 </w:t>
      </w:r>
      <w:r>
        <w:rPr>
          <w:rFonts w:eastAsia="Segoe UI" w:cs="Arial"/>
        </w:rPr>
        <w:t>And if a man lies down with her and her menstrual impurity comes on him,</w:t>
      </w:r>
      <w:r w:rsidR="00495DED">
        <w:rPr>
          <w:rStyle w:val="EndnoteReference"/>
          <w:rFonts w:eastAsia="Segoe UI" w:cs="Arial"/>
        </w:rPr>
        <w:endnoteReference w:id="13"/>
      </w:r>
      <w:r>
        <w:rPr>
          <w:rFonts w:eastAsia="Segoe UI" w:cs="Arial"/>
        </w:rPr>
        <w:t xml:space="preserve"> he will then be unclean for seven days, and any bed on which he lies down will be unclean.</w:t>
      </w:r>
    </w:p>
    <w:p w:rsidR="00174DDF" w:rsidRDefault="00174DDF" w:rsidP="00174DDF">
      <w:pPr>
        <w:rPr>
          <w:rFonts w:ascii="MEPS Bookman WTS" w:eastAsia="Segoe UI" w:hAnsi="MEPS Bookman WTS" w:cs="Segoe UI"/>
        </w:rPr>
      </w:pPr>
      <w:r>
        <w:rPr>
          <w:rFonts w:eastAsia="Segoe UI" w:cs="Arial"/>
          <w:b/>
        </w:rPr>
        <w:t xml:space="preserve">25 </w:t>
      </w:r>
      <w:r>
        <w:rPr>
          <w:rFonts w:eastAsia="Segoe UI" w:cs="Arial"/>
        </w:rPr>
        <w:t>“‘When a woman’s discharge of blood flows for many days</w:t>
      </w:r>
      <w:r w:rsidR="00495DED">
        <w:rPr>
          <w:rStyle w:val="EndnoteReference"/>
          <w:rFonts w:eastAsia="Segoe UI" w:cs="Arial"/>
        </w:rPr>
        <w:endnoteReference w:id="14"/>
      </w:r>
      <w:r>
        <w:rPr>
          <w:rFonts w:eastAsia="Segoe UI" w:cs="Arial"/>
        </w:rPr>
        <w:t xml:space="preserve"> when it is not the regular time of her menstruation,</w:t>
      </w:r>
      <w:r w:rsidR="00495DED">
        <w:rPr>
          <w:rStyle w:val="EndnoteReference"/>
          <w:rFonts w:eastAsia="Segoe UI" w:cs="Arial"/>
        </w:rPr>
        <w:endnoteReference w:id="15"/>
      </w:r>
      <w:r>
        <w:rPr>
          <w:rFonts w:eastAsia="Segoe UI" w:cs="Arial"/>
        </w:rPr>
        <w:t xml:space="preserve"> or if she should have a flow longer than her usual menstruation, she will be unclean during all the days of her discharge, as in the days of her menstrual impurity. </w:t>
      </w:r>
      <w:r>
        <w:rPr>
          <w:rFonts w:eastAsia="Segoe UI" w:cs="Arial"/>
          <w:b/>
        </w:rPr>
        <w:t xml:space="preserve">26 </w:t>
      </w:r>
      <w:r>
        <w:rPr>
          <w:rFonts w:eastAsia="Segoe UI" w:cs="Arial"/>
        </w:rPr>
        <w:t>Any bed she lies on during the days of her discharge will become like the bed of her menstrual impurity,</w:t>
      </w:r>
      <w:r w:rsidR="00495DED">
        <w:rPr>
          <w:rStyle w:val="EndnoteReference"/>
          <w:rFonts w:eastAsia="Segoe UI" w:cs="Arial"/>
        </w:rPr>
        <w:endnoteReference w:id="16"/>
      </w:r>
      <w:r>
        <w:rPr>
          <w:rFonts w:eastAsia="Segoe UI" w:cs="Arial"/>
        </w:rPr>
        <w:t xml:space="preserve"> and any article she sits on will become unclean like the uncleanness of her menstrual impurity. </w:t>
      </w:r>
      <w:r>
        <w:rPr>
          <w:rFonts w:eastAsia="Segoe UI" w:cs="Arial"/>
          <w:b/>
        </w:rPr>
        <w:t xml:space="preserve">27 </w:t>
      </w:r>
      <w:r>
        <w:rPr>
          <w:rFonts w:eastAsia="Segoe UI" w:cs="Arial"/>
        </w:rPr>
        <w:t>Anyone touching them will be unclean, and he must wash his garments, bathe in water, and be unclean until the evening.</w:t>
      </w:r>
      <w:r w:rsidR="00495DED">
        <w:rPr>
          <w:rStyle w:val="EndnoteReference"/>
          <w:rFonts w:eastAsia="Segoe UI" w:cs="Arial"/>
        </w:rPr>
        <w:endnoteReference w:id="17"/>
      </w:r>
    </w:p>
    <w:p w:rsidR="00174DDF" w:rsidRDefault="00174DDF" w:rsidP="00174DDF">
      <w:pPr>
        <w:rPr>
          <w:rFonts w:ascii="MEPS Bookman WTS" w:eastAsia="Segoe UI" w:hAnsi="MEPS Bookman WTS" w:cs="Segoe UI"/>
        </w:rPr>
      </w:pPr>
      <w:r>
        <w:rPr>
          <w:rFonts w:eastAsia="Segoe UI" w:cs="Arial"/>
          <w:b/>
        </w:rPr>
        <w:t xml:space="preserve">28 </w:t>
      </w:r>
      <w:r>
        <w:rPr>
          <w:rFonts w:eastAsia="Segoe UI" w:cs="Arial"/>
        </w:rPr>
        <w:t>“‘However, when she is clean from her discharge, she will count for herself seven days, and afterward she will be clean.</w:t>
      </w:r>
      <w:r w:rsidR="00495DED">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29 </w:t>
      </w:r>
      <w:r>
        <w:rPr>
          <w:rFonts w:eastAsia="Segoe UI" w:cs="Arial"/>
        </w:rPr>
        <w:t>On the eighth day, she should take two turtledoves or two young pigeons,</w:t>
      </w:r>
      <w:r w:rsidR="00495DED">
        <w:rPr>
          <w:rStyle w:val="EndnoteReference"/>
          <w:rFonts w:eastAsia="Segoe UI" w:cs="Arial"/>
        </w:rPr>
        <w:endnoteReference w:id="19"/>
      </w:r>
      <w:r>
        <w:rPr>
          <w:rFonts w:eastAsia="Segoe UI" w:cs="Arial"/>
        </w:rPr>
        <w:t xml:space="preserve"> and she will bring them to the priest at the entrance of the tent of meeting.</w:t>
      </w:r>
      <w:r w:rsidR="00495DED">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30 </w:t>
      </w:r>
      <w:r>
        <w:rPr>
          <w:rFonts w:eastAsia="Segoe UI" w:cs="Arial"/>
        </w:rPr>
        <w:t>The priest will make the one a sin offering and the other a burnt offering, and the priest will make atonement for her before Jehovah concerning her unclean discharge.</w:t>
      </w:r>
      <w:r w:rsidR="00495DED">
        <w:rPr>
          <w:rStyle w:val="EndnoteReference"/>
          <w:rFonts w:eastAsia="Segoe UI" w:cs="Arial"/>
        </w:rPr>
        <w:endnoteReference w:id="21"/>
      </w:r>
    </w:p>
    <w:p w:rsidR="00174DDF" w:rsidRDefault="00174DDF" w:rsidP="00174DDF">
      <w:pPr>
        <w:rPr>
          <w:rFonts w:ascii="MEPS Bookman WTS" w:eastAsia="Segoe UI" w:hAnsi="MEPS Bookman WTS" w:cs="Segoe UI"/>
        </w:rPr>
      </w:pPr>
      <w:r>
        <w:rPr>
          <w:rFonts w:eastAsia="Segoe UI" w:cs="Arial"/>
          <w:b/>
        </w:rPr>
        <w:t xml:space="preserve">31 </w:t>
      </w:r>
      <w:r>
        <w:rPr>
          <w:rFonts w:eastAsia="Segoe UI" w:cs="Arial"/>
        </w:rPr>
        <w:t>“‘Thus you must keep the Israelites separate from their uncleanness, so that they do not die in their uncleanness by defiling my tabernacle, which is in their midst.</w:t>
      </w:r>
      <w:r w:rsidR="00495DED">
        <w:rPr>
          <w:rStyle w:val="EndnoteReference"/>
          <w:rFonts w:eastAsia="Segoe UI" w:cs="Arial"/>
        </w:rPr>
        <w:endnoteReference w:id="22"/>
      </w:r>
    </w:p>
    <w:p w:rsidR="00174DDF" w:rsidRDefault="00174DDF" w:rsidP="00174DDF">
      <w:pPr>
        <w:rPr>
          <w:rFonts w:eastAsia="Segoe UI" w:cs="Arial"/>
        </w:rPr>
      </w:pPr>
      <w:r>
        <w:rPr>
          <w:rFonts w:eastAsia="Segoe UI" w:cs="Arial"/>
          <w:b/>
        </w:rPr>
        <w:t xml:space="preserve">32 </w:t>
      </w:r>
      <w:r>
        <w:rPr>
          <w:rFonts w:eastAsia="Segoe UI" w:cs="Arial"/>
        </w:rPr>
        <w:t>“‘This is the law about the man having a discharge, the man who is unclean because of an emission of semen,</w:t>
      </w:r>
      <w:r w:rsidR="00495DED">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33 </w:t>
      </w:r>
      <w:r>
        <w:rPr>
          <w:rFonts w:eastAsia="Segoe UI" w:cs="Arial"/>
        </w:rPr>
        <w:t>the woman during her menstrual impurity,</w:t>
      </w:r>
      <w:r w:rsidR="00495DED">
        <w:rPr>
          <w:rStyle w:val="EndnoteReference"/>
          <w:rFonts w:eastAsia="Segoe UI" w:cs="Arial"/>
        </w:rPr>
        <w:endnoteReference w:id="24"/>
      </w:r>
      <w:r>
        <w:rPr>
          <w:rFonts w:eastAsia="Segoe UI" w:cs="Arial"/>
        </w:rPr>
        <w:t xml:space="preserve"> any male or female who has a discharge flowing from the body,</w:t>
      </w:r>
      <w:r w:rsidR="00495DED">
        <w:rPr>
          <w:rStyle w:val="EndnoteReference"/>
          <w:rFonts w:eastAsia="Segoe UI" w:cs="Arial"/>
        </w:rPr>
        <w:endnoteReference w:id="25"/>
      </w:r>
      <w:r>
        <w:rPr>
          <w:rFonts w:eastAsia="Segoe UI" w:cs="Arial"/>
        </w:rPr>
        <w:t xml:space="preserve"> and a man who lies down with an unclean woman.’”</w:t>
      </w:r>
    </w:p>
    <w:p w:rsidR="00762BCB" w:rsidRPr="00174DDF" w:rsidRDefault="00762BCB" w:rsidP="00174DDF"/>
    <w:sectPr w:rsidR="00762BCB" w:rsidRPr="00174DDF"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5CDA" w:rsidRDefault="00A55CDA">
      <w:r>
        <w:separator/>
      </w:r>
    </w:p>
  </w:endnote>
  <w:endnote w:type="continuationSeparator" w:id="0">
    <w:p w:rsidR="00A55CDA" w:rsidRDefault="00A55CDA">
      <w:r>
        <w:continuationSeparator/>
      </w:r>
    </w:p>
  </w:endnote>
  <w:endnote w:id="1">
    <w:p w:rsidR="00495DED" w:rsidRDefault="00495DED">
      <w:pPr>
        <w:pStyle w:val="EndnoteText"/>
      </w:pPr>
      <w:r>
        <w:rPr>
          <w:rStyle w:val="EndnoteReference"/>
        </w:rPr>
        <w:endnoteRef/>
      </w:r>
      <w:r>
        <w:t xml:space="preserve"> Leviticus 22:4; Numbers 5:2</w:t>
      </w:r>
    </w:p>
  </w:endnote>
  <w:endnote w:id="2">
    <w:p w:rsidR="00495DED" w:rsidRDefault="00495DED">
      <w:pPr>
        <w:pStyle w:val="EndnoteText"/>
      </w:pPr>
      <w:r>
        <w:rPr>
          <w:rStyle w:val="EndnoteReference"/>
        </w:rPr>
        <w:endnoteRef/>
      </w:r>
      <w:r>
        <w:t xml:space="preserve"> Leviticus 11:24, 25; 14:46, 47; 17:15; 22:6</w:t>
      </w:r>
    </w:p>
  </w:endnote>
  <w:endnote w:id="3">
    <w:p w:rsidR="00495DED" w:rsidRDefault="00495DED">
      <w:pPr>
        <w:pStyle w:val="EndnoteText"/>
      </w:pPr>
      <w:r>
        <w:rPr>
          <w:rStyle w:val="EndnoteReference"/>
        </w:rPr>
        <w:endnoteRef/>
      </w:r>
      <w:r>
        <w:t xml:space="preserve"> Leviticus 15:2</w:t>
      </w:r>
    </w:p>
  </w:endnote>
  <w:endnote w:id="4">
    <w:p w:rsidR="00495DED" w:rsidRDefault="00495DED">
      <w:pPr>
        <w:pStyle w:val="EndnoteText"/>
      </w:pPr>
      <w:r>
        <w:rPr>
          <w:rStyle w:val="EndnoteReference"/>
        </w:rPr>
        <w:endnoteRef/>
      </w:r>
      <w:r>
        <w:t xml:space="preserve"> Leviticus 11:32, 33</w:t>
      </w:r>
    </w:p>
  </w:endnote>
  <w:endnote w:id="5">
    <w:p w:rsidR="00495DED" w:rsidRDefault="00495DED">
      <w:pPr>
        <w:pStyle w:val="EndnoteText"/>
      </w:pPr>
      <w:r>
        <w:rPr>
          <w:rStyle w:val="EndnoteReference"/>
        </w:rPr>
        <w:endnoteRef/>
      </w:r>
      <w:r>
        <w:t xml:space="preserve"> Leviticus 14:8</w:t>
      </w:r>
    </w:p>
  </w:endnote>
  <w:endnote w:id="6">
    <w:p w:rsidR="00495DED" w:rsidRDefault="00495DED">
      <w:pPr>
        <w:pStyle w:val="EndnoteText"/>
      </w:pPr>
      <w:r>
        <w:rPr>
          <w:rStyle w:val="EndnoteReference"/>
        </w:rPr>
        <w:endnoteRef/>
      </w:r>
      <w:r>
        <w:t xml:space="preserve"> Leviticus 1:14</w:t>
      </w:r>
    </w:p>
  </w:endnote>
  <w:endnote w:id="7">
    <w:p w:rsidR="00495DED" w:rsidRDefault="00495DED">
      <w:pPr>
        <w:pStyle w:val="EndnoteText"/>
      </w:pPr>
      <w:r>
        <w:rPr>
          <w:rStyle w:val="EndnoteReference"/>
        </w:rPr>
        <w:endnoteRef/>
      </w:r>
      <w:r>
        <w:t xml:space="preserve"> Leviticus 22:4; Deuteronomy 23:10, 11</w:t>
      </w:r>
    </w:p>
  </w:endnote>
  <w:endnote w:id="8">
    <w:p w:rsidR="00495DED" w:rsidRDefault="00495DED">
      <w:pPr>
        <w:pStyle w:val="EndnoteText"/>
      </w:pPr>
      <w:r>
        <w:rPr>
          <w:rStyle w:val="EndnoteReference"/>
        </w:rPr>
        <w:endnoteRef/>
      </w:r>
      <w:r>
        <w:t xml:space="preserve"> Exodus 19:15; 1 Samuel 21:5</w:t>
      </w:r>
    </w:p>
  </w:endnote>
  <w:endnote w:id="9">
    <w:p w:rsidR="00495DED" w:rsidRDefault="00495DED">
      <w:pPr>
        <w:pStyle w:val="EndnoteText"/>
      </w:pPr>
      <w:r>
        <w:rPr>
          <w:rStyle w:val="EndnoteReference"/>
        </w:rPr>
        <w:endnoteRef/>
      </w:r>
      <w:r>
        <w:t xml:space="preserve"> Leviticus 12:2, 5</w:t>
      </w:r>
    </w:p>
  </w:endnote>
  <w:endnote w:id="10">
    <w:p w:rsidR="00495DED" w:rsidRDefault="00495DED">
      <w:pPr>
        <w:pStyle w:val="EndnoteText"/>
      </w:pPr>
      <w:r>
        <w:rPr>
          <w:rStyle w:val="EndnoteReference"/>
        </w:rPr>
        <w:endnoteRef/>
      </w:r>
      <w:r>
        <w:t xml:space="preserve"> Leviticus 20:18</w:t>
      </w:r>
    </w:p>
  </w:endnote>
  <w:endnote w:id="11">
    <w:p w:rsidR="00495DED" w:rsidRDefault="00495DED">
      <w:pPr>
        <w:pStyle w:val="EndnoteText"/>
      </w:pPr>
      <w:r>
        <w:rPr>
          <w:rStyle w:val="EndnoteReference"/>
        </w:rPr>
        <w:endnoteRef/>
      </w:r>
      <w:r>
        <w:t xml:space="preserve"> Leviticus 15:4-6</w:t>
      </w:r>
    </w:p>
  </w:endnote>
  <w:endnote w:id="12">
    <w:p w:rsidR="00495DED" w:rsidRDefault="00495DED">
      <w:pPr>
        <w:pStyle w:val="EndnoteText"/>
      </w:pPr>
      <w:r>
        <w:rPr>
          <w:rStyle w:val="EndnoteReference"/>
        </w:rPr>
        <w:endnoteRef/>
      </w:r>
      <w:r>
        <w:t xml:space="preserve"> Leviticus 15:10</w:t>
      </w:r>
    </w:p>
  </w:endnote>
  <w:endnote w:id="13">
    <w:p w:rsidR="00495DED" w:rsidRDefault="00495DED">
      <w:pPr>
        <w:pStyle w:val="EndnoteText"/>
      </w:pPr>
      <w:r>
        <w:rPr>
          <w:rStyle w:val="EndnoteReference"/>
        </w:rPr>
        <w:endnoteRef/>
      </w:r>
      <w:r>
        <w:t xml:space="preserve"> Leviticus 18:19; 20:18</w:t>
      </w:r>
    </w:p>
  </w:endnote>
  <w:endnote w:id="14">
    <w:p w:rsidR="00495DED" w:rsidRDefault="00495DED">
      <w:pPr>
        <w:pStyle w:val="EndnoteText"/>
      </w:pPr>
      <w:r>
        <w:rPr>
          <w:rStyle w:val="EndnoteReference"/>
        </w:rPr>
        <w:endnoteRef/>
      </w:r>
      <w:r>
        <w:t xml:space="preserve"> Matthew 9:20; Luke 8:43</w:t>
      </w:r>
    </w:p>
  </w:endnote>
  <w:endnote w:id="15">
    <w:p w:rsidR="00495DED" w:rsidRDefault="00495DED">
      <w:pPr>
        <w:pStyle w:val="EndnoteText"/>
      </w:pPr>
      <w:r>
        <w:rPr>
          <w:rStyle w:val="EndnoteReference"/>
        </w:rPr>
        <w:endnoteRef/>
      </w:r>
      <w:r>
        <w:t xml:space="preserve"> Leviticus 15:19</w:t>
      </w:r>
    </w:p>
  </w:endnote>
  <w:endnote w:id="16">
    <w:p w:rsidR="00495DED" w:rsidRDefault="00495DED">
      <w:pPr>
        <w:pStyle w:val="EndnoteText"/>
      </w:pPr>
      <w:r>
        <w:rPr>
          <w:rStyle w:val="EndnoteReference"/>
        </w:rPr>
        <w:endnoteRef/>
      </w:r>
      <w:r>
        <w:t xml:space="preserve"> Leviticus 15:21</w:t>
      </w:r>
    </w:p>
  </w:endnote>
  <w:endnote w:id="17">
    <w:p w:rsidR="00495DED" w:rsidRDefault="00495DED">
      <w:pPr>
        <w:pStyle w:val="EndnoteText"/>
      </w:pPr>
      <w:r>
        <w:rPr>
          <w:rStyle w:val="EndnoteReference"/>
        </w:rPr>
        <w:endnoteRef/>
      </w:r>
      <w:r>
        <w:t xml:space="preserve"> Leviticus 15:22</w:t>
      </w:r>
    </w:p>
  </w:endnote>
  <w:endnote w:id="18">
    <w:p w:rsidR="00495DED" w:rsidRDefault="00495DED">
      <w:pPr>
        <w:pStyle w:val="EndnoteText"/>
      </w:pPr>
      <w:r>
        <w:rPr>
          <w:rStyle w:val="EndnoteReference"/>
        </w:rPr>
        <w:endnoteRef/>
      </w:r>
      <w:r>
        <w:t xml:space="preserve"> Leviticus 15:13</w:t>
      </w:r>
    </w:p>
  </w:endnote>
  <w:endnote w:id="19">
    <w:p w:rsidR="00495DED" w:rsidRDefault="00495DED">
      <w:pPr>
        <w:pStyle w:val="EndnoteText"/>
      </w:pPr>
      <w:r>
        <w:rPr>
          <w:rStyle w:val="EndnoteReference"/>
        </w:rPr>
        <w:endnoteRef/>
      </w:r>
      <w:r>
        <w:t xml:space="preserve"> Leviticus 1:14</w:t>
      </w:r>
    </w:p>
  </w:endnote>
  <w:endnote w:id="20">
    <w:p w:rsidR="00495DED" w:rsidRDefault="00495DED">
      <w:pPr>
        <w:pStyle w:val="EndnoteText"/>
      </w:pPr>
      <w:r>
        <w:rPr>
          <w:rStyle w:val="EndnoteReference"/>
        </w:rPr>
        <w:endnoteRef/>
      </w:r>
      <w:r>
        <w:t xml:space="preserve"> Leviticus 15:14, 15</w:t>
      </w:r>
    </w:p>
  </w:endnote>
  <w:endnote w:id="21">
    <w:p w:rsidR="00495DED" w:rsidRDefault="00495DED">
      <w:pPr>
        <w:pStyle w:val="EndnoteText"/>
      </w:pPr>
      <w:r>
        <w:rPr>
          <w:rStyle w:val="EndnoteReference"/>
        </w:rPr>
        <w:endnoteRef/>
      </w:r>
      <w:r>
        <w:t xml:space="preserve"> Leviticus 12:7</w:t>
      </w:r>
    </w:p>
  </w:endnote>
  <w:endnote w:id="22">
    <w:p w:rsidR="00495DED" w:rsidRDefault="00495DED">
      <w:pPr>
        <w:pStyle w:val="EndnoteText"/>
      </w:pPr>
      <w:r>
        <w:rPr>
          <w:rStyle w:val="EndnoteReference"/>
        </w:rPr>
        <w:endnoteRef/>
      </w:r>
      <w:r>
        <w:t xml:space="preserve"> Leviticus 19:30; Numbers 5:3; 19:20</w:t>
      </w:r>
    </w:p>
  </w:endnote>
  <w:endnote w:id="23">
    <w:p w:rsidR="00495DED" w:rsidRDefault="00495DED">
      <w:pPr>
        <w:pStyle w:val="EndnoteText"/>
      </w:pPr>
      <w:r>
        <w:rPr>
          <w:rStyle w:val="EndnoteReference"/>
        </w:rPr>
        <w:endnoteRef/>
      </w:r>
      <w:r>
        <w:t xml:space="preserve"> Leviticus 15:16</w:t>
      </w:r>
    </w:p>
  </w:endnote>
  <w:endnote w:id="24">
    <w:p w:rsidR="00495DED" w:rsidRDefault="00495DED">
      <w:pPr>
        <w:pStyle w:val="EndnoteText"/>
      </w:pPr>
      <w:r>
        <w:rPr>
          <w:rStyle w:val="EndnoteReference"/>
        </w:rPr>
        <w:endnoteRef/>
      </w:r>
      <w:r>
        <w:t xml:space="preserve"> Leviticus 15:19</w:t>
      </w:r>
    </w:p>
  </w:endnote>
  <w:endnote w:id="25">
    <w:p w:rsidR="00495DED" w:rsidRDefault="00495DED">
      <w:pPr>
        <w:pStyle w:val="EndnoteText"/>
      </w:pPr>
      <w:r>
        <w:rPr>
          <w:rStyle w:val="EndnoteReference"/>
        </w:rPr>
        <w:endnoteRef/>
      </w:r>
      <w:r>
        <w:t xml:space="preserve"> Leviticus 15:2, 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5CDA" w:rsidRDefault="00A55CDA">
      <w:r>
        <w:separator/>
      </w:r>
    </w:p>
  </w:footnote>
  <w:footnote w:type="continuationSeparator" w:id="0">
    <w:p w:rsidR="00A55CDA" w:rsidRDefault="00A55CDA">
      <w:r>
        <w:continuationSeparator/>
      </w:r>
    </w:p>
  </w:footnote>
  <w:footnote w:id="1">
    <w:p w:rsidR="00495DED" w:rsidRDefault="00495DED">
      <w:pPr>
        <w:pStyle w:val="FootnoteText"/>
      </w:pPr>
      <w:r>
        <w:rPr>
          <w:rStyle w:val="FootnoteReference"/>
        </w:rPr>
        <w:footnoteRef/>
      </w:r>
      <w:r>
        <w:t xml:space="preserve"> </w:t>
      </w:r>
      <w:r>
        <w:t>Lit., “his flesh.”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95DE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95DED">
        <w:t>Leviticus Chapter 15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95DED">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95DED">
      <w:rPr>
        <w:noProof/>
        <w:snapToGrid w:val="0"/>
      </w:rPr>
      <w:t>Leviticus 15.Advisor.docx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95DED">
        <w:t>Leviticus Chapter 15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95DED">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95DED">
      <w:rPr>
        <w:noProof/>
        <w:snapToGrid w:val="0"/>
      </w:rPr>
      <w:t>Leviticus 15.Advisor.docx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95DE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95DED">
      <w:t>&lt;not set&gt;</w:t>
    </w:r>
    <w:r>
      <w:fldChar w:fldCharType="end"/>
    </w:r>
    <w:r>
      <w:tab/>
      <w:t xml:space="preserve">Checker: </w:t>
    </w:r>
    <w:r>
      <w:fldChar w:fldCharType="begin"/>
    </w:r>
    <w:r>
      <w:instrText xml:space="preserve"> DOCPROPERTY "_RoleChecker" </w:instrText>
    </w:r>
    <w:r>
      <w:fldChar w:fldCharType="separate"/>
    </w:r>
    <w:r w:rsidR="00495DE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95DE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CDA"/>
    <w:rsid w:val="00174DDF"/>
    <w:rsid w:val="00245EDD"/>
    <w:rsid w:val="0026230D"/>
    <w:rsid w:val="002B524D"/>
    <w:rsid w:val="002C00A8"/>
    <w:rsid w:val="00310508"/>
    <w:rsid w:val="003B380B"/>
    <w:rsid w:val="004500A2"/>
    <w:rsid w:val="00495DED"/>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55CDA"/>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74c260f093e84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95DED"/>
    <w:pPr>
      <w:spacing w:line="240" w:lineRule="auto"/>
    </w:pPr>
    <w:rPr>
      <w:sz w:val="20"/>
      <w:szCs w:val="20"/>
    </w:rPr>
  </w:style>
  <w:style w:type="character" w:customStyle="1" w:styleId="FootnoteTextChar">
    <w:name w:val="Footnote Text Char"/>
    <w:basedOn w:val="DefaultParagraphFont"/>
    <w:link w:val="FootnoteText"/>
    <w:rsid w:val="00495DED"/>
    <w:rPr>
      <w:rFonts w:ascii="Arial" w:eastAsia="Times New Roman" w:hAnsi="Arial" w:cs="Latha"/>
      <w:lang w:val="en-US" w:eastAsia="en-US" w:bidi="ta-IN"/>
    </w:rPr>
  </w:style>
  <w:style w:type="character" w:styleId="FootnoteReference">
    <w:name w:val="footnote reference"/>
    <w:basedOn w:val="DefaultParagraphFont"/>
    <w:rsid w:val="00495DED"/>
    <w:rPr>
      <w:vertAlign w:val="superscript"/>
    </w:rPr>
  </w:style>
  <w:style w:type="paragraph" w:styleId="EndnoteText">
    <w:name w:val="endnote text"/>
    <w:basedOn w:val="Normal"/>
    <w:link w:val="EndnoteTextChar"/>
    <w:rsid w:val="00495DED"/>
    <w:pPr>
      <w:spacing w:line="240" w:lineRule="auto"/>
    </w:pPr>
    <w:rPr>
      <w:sz w:val="20"/>
      <w:szCs w:val="20"/>
    </w:rPr>
  </w:style>
  <w:style w:type="character" w:customStyle="1" w:styleId="EndnoteTextChar">
    <w:name w:val="Endnote Text Char"/>
    <w:basedOn w:val="DefaultParagraphFont"/>
    <w:link w:val="EndnoteText"/>
    <w:rsid w:val="00495DED"/>
    <w:rPr>
      <w:rFonts w:ascii="Arial" w:eastAsia="Times New Roman" w:hAnsi="Arial" w:cs="Latha"/>
      <w:lang w:val="en-US" w:eastAsia="en-US" w:bidi="ta-IN"/>
    </w:rPr>
  </w:style>
  <w:style w:type="character" w:styleId="EndnoteReference">
    <w:name w:val="endnote reference"/>
    <w:basedOn w:val="DefaultParagraphFont"/>
    <w:rsid w:val="00495DE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95DED"/>
    <w:pPr>
      <w:spacing w:line="240" w:lineRule="auto"/>
    </w:pPr>
    <w:rPr>
      <w:sz w:val="20"/>
      <w:szCs w:val="20"/>
    </w:rPr>
  </w:style>
  <w:style w:type="character" w:customStyle="1" w:styleId="FootnoteTextChar">
    <w:name w:val="Footnote Text Char"/>
    <w:basedOn w:val="DefaultParagraphFont"/>
    <w:link w:val="FootnoteText"/>
    <w:rsid w:val="00495DED"/>
    <w:rPr>
      <w:rFonts w:ascii="Arial" w:eastAsia="Times New Roman" w:hAnsi="Arial" w:cs="Latha"/>
      <w:lang w:val="en-US" w:eastAsia="en-US" w:bidi="ta-IN"/>
    </w:rPr>
  </w:style>
  <w:style w:type="character" w:styleId="FootnoteReference">
    <w:name w:val="footnote reference"/>
    <w:basedOn w:val="DefaultParagraphFont"/>
    <w:rsid w:val="00495DED"/>
    <w:rPr>
      <w:vertAlign w:val="superscript"/>
    </w:rPr>
  </w:style>
  <w:style w:type="paragraph" w:styleId="EndnoteText">
    <w:name w:val="endnote text"/>
    <w:basedOn w:val="Normal"/>
    <w:link w:val="EndnoteTextChar"/>
    <w:rsid w:val="00495DED"/>
    <w:pPr>
      <w:spacing w:line="240" w:lineRule="auto"/>
    </w:pPr>
    <w:rPr>
      <w:sz w:val="20"/>
      <w:szCs w:val="20"/>
    </w:rPr>
  </w:style>
  <w:style w:type="character" w:customStyle="1" w:styleId="EndnoteTextChar">
    <w:name w:val="Endnote Text Char"/>
    <w:basedOn w:val="DefaultParagraphFont"/>
    <w:link w:val="EndnoteText"/>
    <w:rsid w:val="00495DED"/>
    <w:rPr>
      <w:rFonts w:ascii="Arial" w:eastAsia="Times New Roman" w:hAnsi="Arial" w:cs="Latha"/>
      <w:lang w:val="en-US" w:eastAsia="en-US" w:bidi="ta-IN"/>
    </w:rPr>
  </w:style>
  <w:style w:type="character" w:styleId="EndnoteReference">
    <w:name w:val="endnote reference"/>
    <w:basedOn w:val="DefaultParagraphFont"/>
    <w:rsid w:val="00495D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74c260f093e846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879</ap:Words>
  <ap:Characters>3868</ap:Characters>
  <ap:Application>Microsoft Office Word</ap:Application>
  <ap:DocSecurity>0</ap:DocSecurity>
  <ap:Lines>63</ap:Lines>
  <ap:Paragraphs>12</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4735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15</dc:title>
  <dc:subject/>
  <dc:creator>David Waterson</dc:creator>
  <cp:keywords/>
  <dc:description/>
  <cp:lastModifiedBy>David Waterson</cp:lastModifiedBy>
  <cp:revision>3</cp:revision>
  <dcterms:created xsi:type="dcterms:W3CDTF">2019-08-04T14:01:00Z</dcterms:created>
  <dcterms:modified xsi:type="dcterms:W3CDTF">2019-08-04T14:01:00Z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15.docx</vt:lpwstr>
  </property>
  <property fmtid="{D5CDD505-2E9C-101B-9397-08002B2CF9AE}" pid="9" name="_TranslationDocumentId">
    <vt:i4>19435</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