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FD6" w:rsidRDefault="007F5FD6" w:rsidP="007F5FD6">
      <w:pPr>
        <w:rPr>
          <w:rFonts w:ascii="MEPS Bookman WTS" w:eastAsia="Segoe UI" w:hAnsi="MEPS Bookman WTS" w:cs="Segoe UI"/>
        </w:rPr>
      </w:pPr>
      <w:bookmarkStart w:id="0" w:name="_GoBack"/>
      <w:bookmarkEnd w:id="0"/>
      <w:r>
        <w:rPr>
          <w:rFonts w:eastAsia="Segoe UI" w:cs="Arial"/>
          <w:b/>
        </w:rPr>
        <w:t xml:space="preserve">21:1 </w:t>
      </w:r>
      <w:r>
        <w:rPr>
          <w:rFonts w:eastAsia="Segoe UI" w:cs="Arial"/>
        </w:rPr>
        <w:t>Jehovah went on to say to Moses: “Talk to the priests, Aaron’s sons, and say to them, ‘No one should defile himself for a dead person</w:t>
      </w:r>
      <w:r w:rsidR="00EC47D7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among his people.</w:t>
      </w:r>
      <w:r w:rsidR="00EC47D7">
        <w:rPr>
          <w:rStyle w:val="EndnoteReference"/>
          <w:rFonts w:eastAsia="Segoe UI" w:cs="Arial"/>
        </w:rPr>
        <w:endnoteReference w:id="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 xml:space="preserve">But he may do so for a close blood relative, for his mother, his father, his son, his daughter, his brother,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 xml:space="preserve">and he may defile himself for his sister if she is a virgin who is near to him and has not yet married.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 xml:space="preserve">He may not defile himself and make himself profane for a woman who belongs to a husband of his people.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They should not make their heads bald</w:t>
      </w:r>
      <w:r w:rsidR="00EC47D7">
        <w:rPr>
          <w:rStyle w:val="EndnoteReference"/>
          <w:rFonts w:eastAsia="Segoe UI" w:cs="Arial"/>
        </w:rPr>
        <w:endnoteReference w:id="2"/>
      </w:r>
      <w:r>
        <w:rPr>
          <w:rFonts w:eastAsia="Segoe UI" w:cs="Arial"/>
        </w:rPr>
        <w:t xml:space="preserve"> or shave off the fringe of their beard or make cuts on their body.</w:t>
      </w:r>
      <w:r w:rsidR="00EC47D7">
        <w:rPr>
          <w:rStyle w:val="EndnoteReference"/>
          <w:rFonts w:eastAsia="Segoe UI" w:cs="Arial"/>
        </w:rPr>
        <w:endnoteReference w:id="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They should be holy to their God,</w:t>
      </w:r>
      <w:r w:rsidR="00EC47D7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and they should not profane the name of their God,</w:t>
      </w:r>
      <w:r w:rsidR="00EC47D7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for they are presenting Jehovah’s offerings made by fire, the bread</w:t>
      </w:r>
      <w:r w:rsidR="00EC47D7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of their God, and they must be holy.</w:t>
      </w:r>
      <w:r w:rsidR="00EC47D7">
        <w:rPr>
          <w:rStyle w:val="EndnoteReference"/>
          <w:rFonts w:eastAsia="Segoe UI" w:cs="Arial"/>
        </w:rPr>
        <w:endnoteReference w:id="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They should not marry a prostitute,</w:t>
      </w:r>
      <w:r w:rsidR="00EC47D7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a woman who has been defiled, or a woman divorced from her husband,</w:t>
      </w:r>
      <w:r w:rsidR="00EC47D7">
        <w:rPr>
          <w:rStyle w:val="EndnoteReference"/>
          <w:rFonts w:eastAsia="Segoe UI" w:cs="Arial"/>
        </w:rPr>
        <w:endnoteReference w:id="8"/>
      </w:r>
      <w:r>
        <w:rPr>
          <w:rFonts w:eastAsia="Segoe UI" w:cs="Arial"/>
        </w:rPr>
        <w:t xml:space="preserve"> because the priest is holy to his God.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You must sanctify him,</w:t>
      </w:r>
      <w:r w:rsidR="00EC47D7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 xml:space="preserve"> because he is one presenting the bread of your God. He should be holy to you, because I, Jehovah, the one sanctifying you, am holy.</w:t>
      </w:r>
      <w:r w:rsidR="00EC47D7">
        <w:rPr>
          <w:rStyle w:val="EndnoteReference"/>
          <w:rFonts w:eastAsia="Segoe UI" w:cs="Arial"/>
        </w:rPr>
        <w:endnoteReference w:id="10"/>
      </w:r>
    </w:p>
    <w:p w:rsidR="007F5FD6" w:rsidRDefault="007F5FD6" w:rsidP="007F5FD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“‘Now if the daughter of a priest should profane herself by committing prostitution, she is profaning her father. She should be burned in the fire.</w:t>
      </w:r>
      <w:r w:rsidR="00EC47D7">
        <w:rPr>
          <w:rStyle w:val="EndnoteReference"/>
          <w:rFonts w:eastAsia="Segoe UI" w:cs="Arial"/>
        </w:rPr>
        <w:endnoteReference w:id="11"/>
      </w:r>
    </w:p>
    <w:p w:rsidR="007F5FD6" w:rsidRDefault="007F5FD6" w:rsidP="007F5FD6">
      <w:pPr>
        <w:rPr>
          <w:rFonts w:eastAsia="Segoe UI" w:cs="Arial"/>
        </w:rPr>
      </w:pP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“‘The high priest of his brothers, on whose head the anointing oil is poured</w:t>
      </w:r>
      <w:r w:rsidR="00EC47D7">
        <w:rPr>
          <w:rStyle w:val="EndnoteReference"/>
          <w:rFonts w:eastAsia="Segoe UI" w:cs="Arial"/>
        </w:rPr>
        <w:endnoteReference w:id="12"/>
      </w:r>
      <w:r>
        <w:rPr>
          <w:rFonts w:eastAsia="Segoe UI" w:cs="Arial"/>
        </w:rPr>
        <w:t xml:space="preserve"> and who has been installed</w:t>
      </w:r>
      <w:r w:rsidR="00EC47D7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to wear the priestly garments,</w:t>
      </w:r>
      <w:r w:rsidR="00EC47D7">
        <w:rPr>
          <w:rStyle w:val="EndnoteReference"/>
          <w:rFonts w:eastAsia="Segoe UI" w:cs="Arial"/>
        </w:rPr>
        <w:endnoteReference w:id="13"/>
      </w:r>
      <w:r>
        <w:rPr>
          <w:rFonts w:eastAsia="Segoe UI" w:cs="Arial"/>
        </w:rPr>
        <w:t xml:space="preserve"> should not let his head go ungroomed or tear his garments.</w:t>
      </w:r>
      <w:r w:rsidR="00EC47D7">
        <w:rPr>
          <w:rStyle w:val="EndnoteReference"/>
          <w:rFonts w:eastAsia="Segoe UI" w:cs="Arial"/>
        </w:rPr>
        <w:endnoteReference w:id="1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He should not approach any dead person;</w:t>
      </w:r>
      <w:r w:rsidR="00EC47D7">
        <w:rPr>
          <w:rStyle w:val="FootnoteReference"/>
          <w:rFonts w:eastAsia="Segoe UI" w:cs="Arial"/>
        </w:rPr>
        <w:footnoteReference w:id="4"/>
      </w:r>
      <w:r w:rsidR="00EC47D7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he may not defile himself even for his father or his mother.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He should not go out from the sanctuary and should not profane the sanctuary of his God,</w:t>
      </w:r>
      <w:r w:rsidR="00EC47D7">
        <w:rPr>
          <w:rStyle w:val="EndnoteReference"/>
          <w:rFonts w:eastAsia="Segoe UI" w:cs="Arial"/>
        </w:rPr>
        <w:endnoteReference w:id="16"/>
      </w:r>
      <w:r>
        <w:rPr>
          <w:rFonts w:eastAsia="Segoe UI" w:cs="Arial"/>
        </w:rPr>
        <w:t xml:space="preserve"> for the sign of dedication, the anointing oil of his God,</w:t>
      </w:r>
      <w:r w:rsidR="00EC47D7">
        <w:rPr>
          <w:rStyle w:val="EndnoteReference"/>
          <w:rFonts w:eastAsia="Segoe UI" w:cs="Arial"/>
        </w:rPr>
        <w:endnoteReference w:id="17"/>
      </w:r>
      <w:r>
        <w:rPr>
          <w:rFonts w:eastAsia="Segoe UI" w:cs="Arial"/>
        </w:rPr>
        <w:t xml:space="preserve"> is upon him. I am Jehovah.</w:t>
      </w:r>
    </w:p>
    <w:p w:rsidR="007F5FD6" w:rsidRDefault="007F5FD6" w:rsidP="007F5FD6">
      <w:pPr>
        <w:rPr>
          <w:rFonts w:eastAsia="Segoe UI" w:cs="Arial"/>
        </w:rPr>
      </w:pP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“‘He must take as a wife a woman who is a virgin.</w:t>
      </w:r>
      <w:r w:rsidR="00EC47D7">
        <w:rPr>
          <w:rStyle w:val="EndnoteReference"/>
          <w:rFonts w:eastAsia="Segoe UI" w:cs="Arial"/>
        </w:rPr>
        <w:endnoteReference w:id="1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 xml:space="preserve">He may not marry a widow, a divorced woman, one who has been defiled, or a prostitute; but he should take a virgin from his people as a wife.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He should not profane his offspring</w:t>
      </w:r>
      <w:r w:rsidR="00EC47D7">
        <w:rPr>
          <w:rStyle w:val="FootnoteReference"/>
          <w:rFonts w:eastAsia="Segoe UI" w:cs="Arial"/>
        </w:rPr>
        <w:footnoteReference w:id="5"/>
      </w:r>
      <w:r>
        <w:rPr>
          <w:rFonts w:eastAsia="Segoe UI" w:cs="Arial"/>
        </w:rPr>
        <w:t xml:space="preserve"> among his people,</w:t>
      </w:r>
      <w:r w:rsidR="00EC47D7">
        <w:rPr>
          <w:rStyle w:val="EndnoteReference"/>
          <w:rFonts w:eastAsia="Segoe UI" w:cs="Arial"/>
        </w:rPr>
        <w:endnoteReference w:id="19"/>
      </w:r>
      <w:r>
        <w:rPr>
          <w:rFonts w:eastAsia="Segoe UI" w:cs="Arial"/>
        </w:rPr>
        <w:t xml:space="preserve"> for I am Jehovah, who is sanctifying him.’”</w:t>
      </w:r>
    </w:p>
    <w:p w:rsidR="007F5FD6" w:rsidRDefault="007F5FD6" w:rsidP="007F5FD6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 xml:space="preserve">Jehovah continued to speak to Moses, saying: </w:t>
      </w: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“Tell Aaron, ‘No man of your offspring</w:t>
      </w:r>
      <w:r w:rsidR="00EC47D7">
        <w:rPr>
          <w:rStyle w:val="FootnoteReference"/>
          <w:rFonts w:eastAsia="Segoe UI" w:cs="Arial"/>
        </w:rPr>
        <w:footnoteReference w:id="6"/>
      </w:r>
      <w:r>
        <w:rPr>
          <w:rFonts w:eastAsia="Segoe UI" w:cs="Arial"/>
        </w:rPr>
        <w:t xml:space="preserve"> throughout their generations who has a defect may approach to present the bread of his God.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If there is any man who has a defect, he may not approach: a man who is blind or lame or has a disfigured face</w:t>
      </w:r>
      <w:r w:rsidR="00EC47D7">
        <w:rPr>
          <w:rStyle w:val="FootnoteReference"/>
          <w:rFonts w:eastAsia="Segoe UI" w:cs="Arial"/>
        </w:rPr>
        <w:footnoteReference w:id="7"/>
      </w:r>
      <w:r>
        <w:rPr>
          <w:rFonts w:eastAsia="Segoe UI" w:cs="Arial"/>
        </w:rPr>
        <w:t xml:space="preserve"> or one limb too long, </w:t>
      </w: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 xml:space="preserve">a man with a fractured foot or a fractured hand, </w:t>
      </w: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a hunchback or a dwarf,</w:t>
      </w:r>
      <w:r w:rsidR="00EC47D7">
        <w:rPr>
          <w:rStyle w:val="FootnoteReference"/>
          <w:rFonts w:eastAsia="Segoe UI" w:cs="Arial"/>
        </w:rPr>
        <w:footnoteReference w:id="8"/>
      </w:r>
      <w:r>
        <w:rPr>
          <w:rFonts w:eastAsia="Segoe UI" w:cs="Arial"/>
        </w:rPr>
        <w:t xml:space="preserve"> or a man with an eye defect or eczema or ringworm or damaged testicles.</w:t>
      </w:r>
      <w:r w:rsidR="00EC47D7">
        <w:rPr>
          <w:rStyle w:val="EndnoteReference"/>
          <w:rFonts w:eastAsia="Segoe UI" w:cs="Arial"/>
        </w:rPr>
        <w:endnoteReference w:id="2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No man of the offspring</w:t>
      </w:r>
      <w:r w:rsidR="00EC47D7">
        <w:rPr>
          <w:rStyle w:val="FootnoteReference"/>
          <w:rFonts w:eastAsia="Segoe UI" w:cs="Arial"/>
        </w:rPr>
        <w:footnoteReference w:id="9"/>
      </w:r>
      <w:r>
        <w:rPr>
          <w:rFonts w:eastAsia="Segoe UI" w:cs="Arial"/>
        </w:rPr>
        <w:t xml:space="preserve"> of Aaron the priest who has a defect may approach to present Jehovah’s offerings made by fire. Because he has a defect, he may not approach to present the bread of his God. </w:t>
      </w: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He may eat the bread of his God from the most holy things</w:t>
      </w:r>
      <w:r w:rsidR="00EC47D7">
        <w:rPr>
          <w:rStyle w:val="EndnoteReference"/>
          <w:rFonts w:eastAsia="Segoe UI" w:cs="Arial"/>
        </w:rPr>
        <w:endnoteReference w:id="21"/>
      </w:r>
      <w:r>
        <w:rPr>
          <w:rFonts w:eastAsia="Segoe UI" w:cs="Arial"/>
        </w:rPr>
        <w:t xml:space="preserve"> and from the holy things.</w:t>
      </w:r>
      <w:r w:rsidR="00EC47D7">
        <w:rPr>
          <w:rStyle w:val="EndnoteReference"/>
          <w:rFonts w:eastAsia="Segoe UI" w:cs="Arial"/>
        </w:rPr>
        <w:endnoteReference w:id="2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However, he may not come near the curtain,</w:t>
      </w:r>
      <w:r w:rsidR="00EC47D7">
        <w:rPr>
          <w:rStyle w:val="EndnoteReference"/>
          <w:rFonts w:eastAsia="Segoe UI" w:cs="Arial"/>
        </w:rPr>
        <w:endnoteReference w:id="23"/>
      </w:r>
      <w:r>
        <w:rPr>
          <w:rFonts w:eastAsia="Segoe UI" w:cs="Arial"/>
        </w:rPr>
        <w:t xml:space="preserve"> and he may not approach the altar,</w:t>
      </w:r>
      <w:r w:rsidR="00EC47D7">
        <w:rPr>
          <w:rStyle w:val="EndnoteReference"/>
          <w:rFonts w:eastAsia="Segoe UI" w:cs="Arial"/>
        </w:rPr>
        <w:endnoteReference w:id="24"/>
      </w:r>
      <w:r>
        <w:rPr>
          <w:rFonts w:eastAsia="Segoe UI" w:cs="Arial"/>
        </w:rPr>
        <w:t xml:space="preserve"> because there is a defect in him; and he should not profane my sanctuary,</w:t>
      </w:r>
      <w:r w:rsidR="00EC47D7">
        <w:rPr>
          <w:rStyle w:val="EndnoteReference"/>
          <w:rFonts w:eastAsia="Segoe UI" w:cs="Arial"/>
        </w:rPr>
        <w:endnoteReference w:id="25"/>
      </w:r>
      <w:r>
        <w:rPr>
          <w:rFonts w:eastAsia="Segoe UI" w:cs="Arial"/>
        </w:rPr>
        <w:t xml:space="preserve"> for I am Jehovah, who is sanctifying them.’”</w:t>
      </w:r>
      <w:r w:rsidR="00EC47D7">
        <w:rPr>
          <w:rStyle w:val="EndnoteReference"/>
          <w:rFonts w:eastAsia="Segoe UI" w:cs="Arial"/>
        </w:rPr>
        <w:endnoteReference w:id="26"/>
      </w:r>
    </w:p>
    <w:p w:rsidR="007F5FD6" w:rsidRDefault="007F5FD6" w:rsidP="007F5FD6">
      <w:pPr>
        <w:rPr>
          <w:rFonts w:eastAsia="Segoe UI" w:cs="Arial"/>
        </w:rPr>
      </w:pP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So Moses spoke to Aaron and his sons and all the Israelites.</w:t>
      </w:r>
    </w:p>
    <w:p w:rsidR="00762BCB" w:rsidRPr="007F5FD6" w:rsidRDefault="00762BCB" w:rsidP="007F5FD6"/>
    <w:sectPr w:rsidR="00762BCB" w:rsidRPr="007F5FD6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57A1" w:rsidRDefault="000E57A1">
      <w:r>
        <w:separator/>
      </w:r>
    </w:p>
  </w:endnote>
  <w:endnote w:type="continuationSeparator" w:id="0">
    <w:p w:rsidR="000E57A1" w:rsidRDefault="000E57A1">
      <w:r>
        <w:continuationSeparator/>
      </w:r>
    </w:p>
  </w:endnote>
  <w:endnote w:id="1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Numbers 19:14</w:t>
      </w:r>
    </w:p>
  </w:endnote>
  <w:endnote w:id="2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Deuteronomy 14:1</w:t>
      </w:r>
    </w:p>
  </w:endnote>
  <w:endnote w:id="3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Leviticus 19:27, 28</w:t>
      </w:r>
    </w:p>
  </w:endnote>
  <w:endnote w:id="4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Exodus 29:44</w:t>
      </w:r>
    </w:p>
  </w:endnote>
  <w:endnote w:id="5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Leviticus 18:21; 19:12; 22:32</w:t>
      </w:r>
    </w:p>
  </w:endnote>
  <w:endnote w:id="6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Isaiah 52:11; 1 Peter 1:15, 16</w:t>
      </w:r>
    </w:p>
  </w:endnote>
  <w:endnote w:id="7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Leviticus 19:29</w:t>
      </w:r>
    </w:p>
  </w:endnote>
  <w:endnote w:id="8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Deuteronomy 24:1; Ezekiel 44:22</w:t>
      </w:r>
    </w:p>
  </w:endnote>
  <w:endnote w:id="9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Exodus 28:41</w:t>
      </w:r>
    </w:p>
  </w:endnote>
  <w:endnote w:id="10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Exodus 28:36; Leviticus 11:45; 20:7, 8</w:t>
      </w:r>
    </w:p>
  </w:endnote>
  <w:endnote w:id="11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Leviticus 20:14</w:t>
      </w:r>
    </w:p>
  </w:endnote>
  <w:endnote w:id="12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Leviticus 8:12</w:t>
      </w:r>
    </w:p>
  </w:endnote>
  <w:endnote w:id="13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Exodus 28:2; 29:29; Leviticus 16:32</w:t>
      </w:r>
    </w:p>
  </w:endnote>
  <w:endnote w:id="14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Genesis 37:34; Leviticus 10:6</w:t>
      </w:r>
    </w:p>
  </w:endnote>
  <w:endnote w:id="15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Numbers 6:7; 19:11, 14</w:t>
      </w:r>
    </w:p>
  </w:endnote>
  <w:endnote w:id="16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Leviticus 10:7</w:t>
      </w:r>
    </w:p>
  </w:endnote>
  <w:endnote w:id="17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Leviticus 8:12</w:t>
      </w:r>
    </w:p>
  </w:endnote>
  <w:endnote w:id="18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Ezekiel 44:22</w:t>
      </w:r>
    </w:p>
  </w:endnote>
  <w:endnote w:id="19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Ezra 9:2</w:t>
      </w:r>
    </w:p>
  </w:endnote>
  <w:endnote w:id="20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Deuteronomy 23:1</w:t>
      </w:r>
    </w:p>
  </w:endnote>
  <w:endnote w:id="21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Leviticus 2:10; 6:14, 16; 24:8, 9; Numbers 18:9</w:t>
      </w:r>
    </w:p>
  </w:endnote>
  <w:endnote w:id="22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Leviticus 22:10; Numbers 18:19</w:t>
      </w:r>
    </w:p>
  </w:endnote>
  <w:endnote w:id="23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Exodus 30:6</w:t>
      </w:r>
    </w:p>
  </w:endnote>
  <w:endnote w:id="24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Exodus 38:1</w:t>
      </w:r>
    </w:p>
  </w:endnote>
  <w:endnote w:id="25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Exodus 25:8</w:t>
      </w:r>
    </w:p>
  </w:endnote>
  <w:endnote w:id="26">
    <w:p w:rsidR="00EC47D7" w:rsidRDefault="00EC47D7">
      <w:pPr>
        <w:pStyle w:val="EndnoteText"/>
      </w:pPr>
      <w:r>
        <w:rPr>
          <w:rStyle w:val="EndnoteReference"/>
        </w:rPr>
        <w:endnoteRef/>
      </w:r>
      <w:r>
        <w:t xml:space="preserve"> Exodus 28:41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57A1" w:rsidRDefault="000E57A1">
      <w:r>
        <w:separator/>
      </w:r>
    </w:p>
  </w:footnote>
  <w:footnote w:type="continuationSeparator" w:id="0">
    <w:p w:rsidR="000E57A1" w:rsidRDefault="000E57A1">
      <w:r>
        <w:continuationSeparator/>
      </w:r>
    </w:p>
  </w:footnote>
  <w:footnote w:id="1">
    <w:p w:rsidR="00EC47D7" w:rsidRDefault="00EC47D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 “for a soul.” </w:t>
      </w:r>
    </w:p>
  </w:footnote>
  <w:footnote w:id="2">
    <w:p w:rsidR="00EC47D7" w:rsidRDefault="00EC47D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“food,” referring to sacrifices.</w:t>
      </w:r>
    </w:p>
  </w:footnote>
  <w:footnote w:id="3">
    <w:p w:rsidR="00EC47D7" w:rsidRDefault="00EC47D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“whose hand was filled.”</w:t>
      </w:r>
    </w:p>
  </w:footnote>
  <w:footnote w:id="4">
    <w:p w:rsidR="00EC47D7" w:rsidRDefault="00EC47D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 “any dead soul.” The Hebrew word </w:t>
      </w:r>
      <w:r>
        <w:rPr>
          <w:i/>
        </w:rPr>
        <w:t>ne′phesh</w:t>
      </w:r>
      <w:r>
        <w:t xml:space="preserve"> is here connected to a Hebrew word meaning “dead.”</w:t>
      </w:r>
    </w:p>
  </w:footnote>
  <w:footnote w:id="5">
    <w:p w:rsidR="00EC47D7" w:rsidRDefault="00EC47D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“seed.”</w:t>
      </w:r>
    </w:p>
  </w:footnote>
  <w:footnote w:id="6">
    <w:p w:rsidR="00EC47D7" w:rsidRDefault="00EC47D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“seed.”</w:t>
      </w:r>
    </w:p>
  </w:footnote>
  <w:footnote w:id="7">
    <w:p w:rsidR="00EC47D7" w:rsidRDefault="00EC47D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“or with his nose slit.”</w:t>
      </w:r>
    </w:p>
  </w:footnote>
  <w:footnote w:id="8">
    <w:p w:rsidR="00EC47D7" w:rsidRDefault="00EC47D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possibly, “emaciated.”</w:t>
      </w:r>
    </w:p>
  </w:footnote>
  <w:footnote w:id="9">
    <w:p w:rsidR="00EC47D7" w:rsidRDefault="00EC47D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“seed.”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C47D7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C47D7">
        <w:t>Leviticus Chapter 21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EC47D7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C47D7">
      <w:rPr>
        <w:noProof/>
        <w:snapToGrid w:val="0"/>
      </w:rPr>
      <w:t>Leviticus 21.Advisor.docx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EC47D7">
        <w:t>Leviticus Chapter 21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EC47D7">
      <w:t>03-Leviticus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C47D7">
      <w:rPr>
        <w:noProof/>
        <w:snapToGrid w:val="0"/>
      </w:rPr>
      <w:t>Leviticus 21.Advisor.docx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EC47D7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EC47D7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EC47D7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EC47D7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7A1"/>
    <w:rsid w:val="000E57A1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7F5FD6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EC47D7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38d36a22416a44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EC47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C47D7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EC47D7"/>
    <w:rPr>
      <w:vertAlign w:val="superscript"/>
    </w:rPr>
  </w:style>
  <w:style w:type="paragraph" w:styleId="EndnoteText">
    <w:name w:val="endnote text"/>
    <w:basedOn w:val="Normal"/>
    <w:link w:val="EndnoteTextChar"/>
    <w:rsid w:val="00EC47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C47D7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EC47D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EC47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C47D7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EC47D7"/>
    <w:rPr>
      <w:vertAlign w:val="superscript"/>
    </w:rPr>
  </w:style>
  <w:style w:type="paragraph" w:styleId="EndnoteText">
    <w:name w:val="endnote text"/>
    <w:basedOn w:val="Normal"/>
    <w:link w:val="EndnoteTextChar"/>
    <w:rsid w:val="00EC47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C47D7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EC47D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38d36a22416a44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595</ap:Words>
  <ap:Characters>2468</ap:Characters>
  <ap:Application>Microsoft Office Word</ap:Application>
  <ap:DocSecurity>0</ap:DocSecurity>
  <ap:Lines>39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3056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21</dc:title>
  <dc:subject/>
  <dc:creator>David Waterson</dc:creator>
  <cp:keywords/>
  <dc:description/>
  <cp:lastModifiedBy>David Waterson</cp:lastModifiedBy>
  <cp:revision>3</cp:revision>
  <dcterms:created xsi:type="dcterms:W3CDTF">2019-08-04T14:04:00Z</dcterms:created>
  <dcterms:modified xsi:type="dcterms:W3CDTF">2019-08-04T14:04:00Z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21.docx</vt:lpwstr>
  </property>
  <property fmtid="{D5CDD505-2E9C-101B-9397-08002B2CF9AE}" pid="9" name="_TranslationDocumentId">
    <vt:i4>19441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3021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