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5A2" w:rsidRDefault="006465A2" w:rsidP="006465A2">
      <w:pPr>
        <w:rPr>
          <w:rFonts w:eastAsia="Segoe UI" w:cs="Arial"/>
        </w:rPr>
      </w:pPr>
      <w:bookmarkStart w:id="0" w:name="_GoBack"/>
      <w:bookmarkEnd w:id="0"/>
      <w:r>
        <w:rPr>
          <w:rFonts w:eastAsia="Segoe UI" w:cs="Arial"/>
          <w:b/>
        </w:rPr>
        <w:t xml:space="preserve">25:1 </w:t>
      </w:r>
      <w:r>
        <w:rPr>
          <w:rFonts w:eastAsia="Segoe UI" w:cs="Arial"/>
        </w:rPr>
        <w:t xml:space="preserve">Jehovah spoke further to Moses on Mount Si′nai, saying: </w:t>
      </w:r>
      <w:r>
        <w:rPr>
          <w:rFonts w:eastAsia="Segoe UI" w:cs="Arial"/>
          <w:b/>
        </w:rPr>
        <w:t xml:space="preserve">2 </w:t>
      </w:r>
      <w:r>
        <w:rPr>
          <w:rFonts w:eastAsia="Segoe UI" w:cs="Arial"/>
        </w:rPr>
        <w:t>“Speak to the Israelites and tell them, ‘When you eventually come into the land that I am giving you,</w:t>
      </w:r>
      <w:r w:rsidR="00D216F4">
        <w:rPr>
          <w:rStyle w:val="EndnoteReference"/>
          <w:rFonts w:eastAsia="Segoe UI" w:cs="Arial"/>
        </w:rPr>
        <w:endnoteReference w:id="1"/>
      </w:r>
      <w:r>
        <w:rPr>
          <w:rFonts w:eastAsia="Segoe UI" w:cs="Arial"/>
        </w:rPr>
        <w:t xml:space="preserve"> then the land will observe a sabbath to Jehovah.</w:t>
      </w:r>
      <w:r w:rsidR="00D216F4">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Six years you should sow your field with seed, and six years you should prune your vineyard, and you will gather the land’s produce.</w:t>
      </w:r>
      <w:r w:rsidR="00D216F4">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4 </w:t>
      </w:r>
      <w:r>
        <w:rPr>
          <w:rFonts w:eastAsia="Segoe UI" w:cs="Arial"/>
        </w:rPr>
        <w:t xml:space="preserve">But in the seventh year, there should be a sabbath of complete rest for the land, a sabbath to Jehovah. You should not sow your field with seed or prune your vineyard. </w:t>
      </w:r>
      <w:r>
        <w:rPr>
          <w:rFonts w:eastAsia="Segoe UI" w:cs="Arial"/>
          <w:b/>
        </w:rPr>
        <w:t xml:space="preserve">5 </w:t>
      </w:r>
      <w:r>
        <w:rPr>
          <w:rFonts w:eastAsia="Segoe UI" w:cs="Arial"/>
        </w:rPr>
        <w:t xml:space="preserve">You must not reap what grows on its own from the grain left after the harvest, and the grapes of your unpruned vine you must not gather. There should be a year of complete rest for the land. </w:t>
      </w:r>
      <w:r>
        <w:rPr>
          <w:rFonts w:eastAsia="Segoe UI" w:cs="Arial"/>
          <w:b/>
        </w:rPr>
        <w:t xml:space="preserve">6 </w:t>
      </w:r>
      <w:r>
        <w:rPr>
          <w:rFonts w:eastAsia="Segoe UI" w:cs="Arial"/>
        </w:rPr>
        <w:t xml:space="preserve">However, you may eat the food that grows in the land during its sabbath; you, your male and female slaves, your hired worker, and the foreign settlers who are residing with you may eat it, </w:t>
      </w:r>
      <w:r>
        <w:rPr>
          <w:rFonts w:eastAsia="Segoe UI" w:cs="Arial"/>
          <w:b/>
        </w:rPr>
        <w:t xml:space="preserve">7 </w:t>
      </w:r>
      <w:r>
        <w:rPr>
          <w:rFonts w:eastAsia="Segoe UI" w:cs="Arial"/>
        </w:rPr>
        <w:t>as well as the domestic and the wild animals in your land. Everything the land produces may be eaten.</w:t>
      </w:r>
    </w:p>
    <w:p w:rsidR="006465A2" w:rsidRDefault="006465A2" w:rsidP="006465A2">
      <w:pPr>
        <w:rPr>
          <w:rFonts w:ascii="MEPS Bookman WTS" w:eastAsia="Segoe UI" w:hAnsi="MEPS Bookman WTS" w:cs="Segoe UI"/>
        </w:rPr>
      </w:pPr>
      <w:r>
        <w:rPr>
          <w:rFonts w:eastAsia="Segoe UI" w:cs="Arial"/>
          <w:b/>
        </w:rPr>
        <w:t xml:space="preserve">8 </w:t>
      </w:r>
      <w:r>
        <w:rPr>
          <w:rFonts w:eastAsia="Segoe UI" w:cs="Arial"/>
        </w:rPr>
        <w:t xml:space="preserve">“‘You will count off seven sabbath years, seven times seven years, and the days of the seven sabbath years will amount to 49 years. </w:t>
      </w:r>
      <w:r>
        <w:rPr>
          <w:rFonts w:eastAsia="Segoe UI" w:cs="Arial"/>
          <w:b/>
        </w:rPr>
        <w:t xml:space="preserve">9 </w:t>
      </w:r>
      <w:r>
        <w:rPr>
          <w:rFonts w:eastAsia="Segoe UI" w:cs="Arial"/>
        </w:rPr>
        <w:t>You will then sound the horn loudly in the seventh month, on the tenth of the month; on the Day of Atonement,</w:t>
      </w:r>
      <w:r w:rsidR="00D216F4">
        <w:rPr>
          <w:rStyle w:val="EndnoteReference"/>
          <w:rFonts w:eastAsia="Segoe UI" w:cs="Arial"/>
        </w:rPr>
        <w:endnoteReference w:id="4"/>
      </w:r>
      <w:r>
        <w:rPr>
          <w:rFonts w:eastAsia="Segoe UI" w:cs="Arial"/>
        </w:rPr>
        <w:t xml:space="preserve"> you should cause the sound of the horn to be heard in all your land. </w:t>
      </w:r>
      <w:r>
        <w:rPr>
          <w:rFonts w:eastAsia="Segoe UI" w:cs="Arial"/>
          <w:b/>
        </w:rPr>
        <w:t xml:space="preserve">10 </w:t>
      </w:r>
      <w:r>
        <w:rPr>
          <w:rFonts w:eastAsia="Segoe UI" w:cs="Arial"/>
        </w:rPr>
        <w:t>You must sanctify the 50th year and proclaim liberty in the land to all its inhabitants.</w:t>
      </w:r>
      <w:r w:rsidR="00D216F4">
        <w:rPr>
          <w:rStyle w:val="EndnoteReference"/>
          <w:rFonts w:eastAsia="Segoe UI" w:cs="Arial"/>
        </w:rPr>
        <w:endnoteReference w:id="5"/>
      </w:r>
      <w:r>
        <w:rPr>
          <w:rFonts w:eastAsia="Segoe UI" w:cs="Arial"/>
        </w:rPr>
        <w:t xml:space="preserve"> It will become a Jubilee for you, and each of you will return to his property and each of you should return to his family.</w:t>
      </w:r>
      <w:r w:rsidR="00D216F4">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11 </w:t>
      </w:r>
      <w:r>
        <w:rPr>
          <w:rFonts w:eastAsia="Segoe UI" w:cs="Arial"/>
        </w:rPr>
        <w:t>A Jubilee is what that 50th year will become for you. You will not sow seed or reap what grew on its own from leftover grain nor gather the grapes of unpruned vines.</w:t>
      </w:r>
      <w:r w:rsidR="00D216F4">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12 </w:t>
      </w:r>
      <w:r>
        <w:rPr>
          <w:rFonts w:eastAsia="Segoe UI" w:cs="Arial"/>
        </w:rPr>
        <w:t>For it is a Jubilee. It is to be holy to you. You may eat only what the land produces by itself.</w:t>
      </w:r>
      <w:r w:rsidR="00D216F4">
        <w:rPr>
          <w:rStyle w:val="EndnoteReference"/>
          <w:rFonts w:eastAsia="Segoe UI" w:cs="Arial"/>
        </w:rPr>
        <w:endnoteReference w:id="8"/>
      </w:r>
    </w:p>
    <w:p w:rsidR="006465A2" w:rsidRDefault="006465A2" w:rsidP="006465A2">
      <w:pPr>
        <w:rPr>
          <w:rFonts w:ascii="MEPS Bookman WTS" w:eastAsia="Segoe UI" w:hAnsi="MEPS Bookman WTS" w:cs="Segoe UI"/>
        </w:rPr>
      </w:pPr>
      <w:r>
        <w:rPr>
          <w:rFonts w:eastAsia="Segoe UI" w:cs="Arial"/>
          <w:b/>
        </w:rPr>
        <w:t xml:space="preserve">13 </w:t>
      </w:r>
      <w:r>
        <w:rPr>
          <w:rFonts w:eastAsia="Segoe UI" w:cs="Arial"/>
        </w:rPr>
        <w:t>“‘In this year of the Jubilee, each of you should return to his property.</w:t>
      </w:r>
      <w:r w:rsidR="00D216F4">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14 </w:t>
      </w:r>
      <w:r>
        <w:rPr>
          <w:rFonts w:eastAsia="Segoe UI" w:cs="Arial"/>
        </w:rPr>
        <w:t>If you sell anything to your fellow man or if you buy from him, do not exploit one another.</w:t>
      </w:r>
      <w:r w:rsidR="00D216F4">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15 </w:t>
      </w:r>
      <w:r>
        <w:rPr>
          <w:rFonts w:eastAsia="Segoe UI" w:cs="Arial"/>
        </w:rPr>
        <w:t>You should buy from your fellow man, taking into account the number of the years after the Jubilee, and he should sell to you according to the remaining years for crops.</w:t>
      </w:r>
      <w:r w:rsidR="00D216F4">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16 </w:t>
      </w:r>
      <w:r>
        <w:rPr>
          <w:rFonts w:eastAsia="Segoe UI" w:cs="Arial"/>
        </w:rPr>
        <w:t xml:space="preserve">If there are many years remaining, he may increase its purchase price, and when there are few years left, he should reduce its purchase price, because he is selling you the number of crops to be produced. </w:t>
      </w:r>
      <w:r>
        <w:rPr>
          <w:rFonts w:eastAsia="Segoe UI" w:cs="Arial"/>
          <w:b/>
        </w:rPr>
        <w:t xml:space="preserve">17 </w:t>
      </w:r>
      <w:r>
        <w:rPr>
          <w:rFonts w:eastAsia="Segoe UI" w:cs="Arial"/>
        </w:rPr>
        <w:t>No one among you should exploit his fellow man,</w:t>
      </w:r>
      <w:r w:rsidR="00D216F4">
        <w:rPr>
          <w:rStyle w:val="EndnoteReference"/>
          <w:rFonts w:eastAsia="Segoe UI" w:cs="Arial"/>
        </w:rPr>
        <w:endnoteReference w:id="12"/>
      </w:r>
      <w:r>
        <w:rPr>
          <w:rFonts w:eastAsia="Segoe UI" w:cs="Arial"/>
        </w:rPr>
        <w:t xml:space="preserve"> and you must be in fear of your God,</w:t>
      </w:r>
      <w:r w:rsidR="00D216F4">
        <w:rPr>
          <w:rStyle w:val="EndnoteReference"/>
          <w:rFonts w:eastAsia="Segoe UI" w:cs="Arial"/>
        </w:rPr>
        <w:endnoteReference w:id="13"/>
      </w:r>
      <w:r>
        <w:rPr>
          <w:rFonts w:eastAsia="Segoe UI" w:cs="Arial"/>
        </w:rPr>
        <w:t xml:space="preserve"> for I am Jehovah your God.</w:t>
      </w:r>
      <w:r w:rsidR="00D216F4">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18 </w:t>
      </w:r>
      <w:r>
        <w:rPr>
          <w:rFonts w:eastAsia="Segoe UI" w:cs="Arial"/>
        </w:rPr>
        <w:t>By your carrying out my statutes and keeping my judicial decisions, you will dwell in security in the land.</w:t>
      </w:r>
      <w:r w:rsidR="00D216F4">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19 </w:t>
      </w:r>
      <w:r>
        <w:rPr>
          <w:rFonts w:eastAsia="Segoe UI" w:cs="Arial"/>
        </w:rPr>
        <w:t>The land will give its fruitage,</w:t>
      </w:r>
      <w:r w:rsidR="00D216F4">
        <w:rPr>
          <w:rStyle w:val="EndnoteReference"/>
          <w:rFonts w:eastAsia="Segoe UI" w:cs="Arial"/>
        </w:rPr>
        <w:endnoteReference w:id="16"/>
      </w:r>
      <w:r>
        <w:rPr>
          <w:rFonts w:eastAsia="Segoe UI" w:cs="Arial"/>
        </w:rPr>
        <w:t xml:space="preserve"> and you will eat to satisfaction and dwell there in security.</w:t>
      </w:r>
      <w:r w:rsidR="00D216F4">
        <w:rPr>
          <w:rStyle w:val="EndnoteReference"/>
          <w:rFonts w:eastAsia="Segoe UI" w:cs="Arial"/>
        </w:rPr>
        <w:endnoteReference w:id="17"/>
      </w:r>
    </w:p>
    <w:p w:rsidR="006465A2" w:rsidRDefault="006465A2" w:rsidP="006465A2">
      <w:pPr>
        <w:rPr>
          <w:rFonts w:eastAsia="Segoe UI" w:cs="Arial"/>
        </w:rPr>
      </w:pPr>
      <w:r>
        <w:rPr>
          <w:rFonts w:eastAsia="Segoe UI" w:cs="Arial"/>
          <w:b/>
        </w:rPr>
        <w:t xml:space="preserve">20 </w:t>
      </w:r>
      <w:r>
        <w:rPr>
          <w:rFonts w:eastAsia="Segoe UI" w:cs="Arial"/>
        </w:rPr>
        <w:t>“‘But if you should say: “What will we eat in the seventh year if we may not sow seed or gather our crops?”</w:t>
      </w:r>
      <w:r w:rsidR="00D216F4">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21 </w:t>
      </w:r>
      <w:r>
        <w:rPr>
          <w:rFonts w:eastAsia="Segoe UI" w:cs="Arial"/>
        </w:rPr>
        <w:t>I will command my blessing for you in the sixth year, and the land will yield a crop sufficient for three years.</w:t>
      </w:r>
      <w:r w:rsidR="00D216F4">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22 </w:t>
      </w:r>
      <w:r>
        <w:rPr>
          <w:rFonts w:eastAsia="Segoe UI" w:cs="Arial"/>
        </w:rPr>
        <w:t>Then you will sow seed in the eighth year and eat from the old crop until the ninth year. Until its crop arrives, you will eat from the old.</w:t>
      </w:r>
    </w:p>
    <w:p w:rsidR="006465A2" w:rsidRDefault="006465A2" w:rsidP="006465A2">
      <w:pPr>
        <w:rPr>
          <w:rFonts w:eastAsia="Segoe UI" w:cs="Arial"/>
        </w:rPr>
      </w:pPr>
      <w:r>
        <w:rPr>
          <w:rFonts w:eastAsia="Segoe UI" w:cs="Arial"/>
          <w:b/>
        </w:rPr>
        <w:t xml:space="preserve">23 </w:t>
      </w:r>
      <w:r>
        <w:rPr>
          <w:rFonts w:eastAsia="Segoe UI" w:cs="Arial"/>
        </w:rPr>
        <w:t>“‘The land should not be sold on a permanent basis,</w:t>
      </w:r>
      <w:r w:rsidR="00D216F4">
        <w:rPr>
          <w:rStyle w:val="EndnoteReference"/>
          <w:rFonts w:eastAsia="Segoe UI" w:cs="Arial"/>
        </w:rPr>
        <w:endnoteReference w:id="20"/>
      </w:r>
      <w:r>
        <w:rPr>
          <w:rFonts w:eastAsia="Segoe UI" w:cs="Arial"/>
        </w:rPr>
        <w:t xml:space="preserve"> because the land is mine.</w:t>
      </w:r>
      <w:r w:rsidR="00D216F4">
        <w:rPr>
          <w:rStyle w:val="EndnoteReference"/>
          <w:rFonts w:eastAsia="Segoe UI" w:cs="Arial"/>
        </w:rPr>
        <w:endnoteReference w:id="21"/>
      </w:r>
      <w:r>
        <w:rPr>
          <w:rFonts w:eastAsia="Segoe UI" w:cs="Arial"/>
        </w:rPr>
        <w:t xml:space="preserve"> For you are foreign residents and settlers from my standpoint.</w:t>
      </w:r>
      <w:r w:rsidR="00D216F4">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24 </w:t>
      </w:r>
      <w:r>
        <w:rPr>
          <w:rFonts w:eastAsia="Segoe UI" w:cs="Arial"/>
        </w:rPr>
        <w:t>Throughout the land of your possession, you should grant the right of buying back the land.</w:t>
      </w:r>
    </w:p>
    <w:p w:rsidR="006465A2" w:rsidRDefault="006465A2" w:rsidP="006465A2">
      <w:pPr>
        <w:rPr>
          <w:rFonts w:ascii="MEPS Bookman WTS" w:eastAsia="Segoe UI" w:hAnsi="MEPS Bookman WTS" w:cs="Segoe UI"/>
        </w:rPr>
      </w:pPr>
      <w:r>
        <w:rPr>
          <w:rFonts w:eastAsia="Segoe UI" w:cs="Arial"/>
          <w:b/>
        </w:rPr>
        <w:t xml:space="preserve">25 </w:t>
      </w:r>
      <w:r>
        <w:rPr>
          <w:rFonts w:eastAsia="Segoe UI" w:cs="Arial"/>
        </w:rPr>
        <w:t>“‘If your brother becomes poor and has to sell some of his property, a repurchaser who is closely related to him must come and buy back what his brother sold.</w:t>
      </w:r>
      <w:r w:rsidR="00D216F4">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26 </w:t>
      </w:r>
      <w:r>
        <w:rPr>
          <w:rFonts w:eastAsia="Segoe UI" w:cs="Arial"/>
        </w:rPr>
        <w:t xml:space="preserve">If anyone has no repurchaser but he becomes prosperous and finds the means to repurchase it, </w:t>
      </w:r>
      <w:r>
        <w:rPr>
          <w:rFonts w:eastAsia="Segoe UI" w:cs="Arial"/>
          <w:b/>
        </w:rPr>
        <w:t xml:space="preserve">27 </w:t>
      </w:r>
      <w:r>
        <w:rPr>
          <w:rFonts w:eastAsia="Segoe UI" w:cs="Arial"/>
        </w:rPr>
        <w:t>he should calculate its value for the years since he sold it and refund the difference to the man whom he sold it to. Then he may return to his property.</w:t>
      </w:r>
      <w:r w:rsidR="00D216F4">
        <w:rPr>
          <w:rStyle w:val="EndnoteReference"/>
          <w:rFonts w:eastAsia="Segoe UI" w:cs="Arial"/>
        </w:rPr>
        <w:endnoteReference w:id="24"/>
      </w:r>
    </w:p>
    <w:p w:rsidR="006465A2" w:rsidRDefault="006465A2" w:rsidP="006465A2">
      <w:pPr>
        <w:rPr>
          <w:rFonts w:ascii="MEPS Bookman WTS" w:eastAsia="Segoe UI" w:hAnsi="MEPS Bookman WTS" w:cs="Segoe UI"/>
        </w:rPr>
      </w:pPr>
      <w:r>
        <w:rPr>
          <w:rFonts w:eastAsia="Segoe UI" w:cs="Arial"/>
          <w:b/>
        </w:rPr>
        <w:t xml:space="preserve">28 </w:t>
      </w:r>
      <w:r>
        <w:rPr>
          <w:rFonts w:eastAsia="Segoe UI" w:cs="Arial"/>
        </w:rPr>
        <w:t>“‘But if he does not find the means to get it back from him, what he sold will remain with the purchaser until the Jubilee year;</w:t>
      </w:r>
      <w:r w:rsidR="00D216F4">
        <w:rPr>
          <w:rStyle w:val="EndnoteReference"/>
          <w:rFonts w:eastAsia="Segoe UI" w:cs="Arial"/>
        </w:rPr>
        <w:endnoteReference w:id="25"/>
      </w:r>
      <w:r>
        <w:rPr>
          <w:rFonts w:eastAsia="Segoe UI" w:cs="Arial"/>
        </w:rPr>
        <w:t xml:space="preserve"> and it will revert to him in the Jubilee, and he will return to his property.</w:t>
      </w:r>
      <w:r w:rsidR="00D216F4">
        <w:rPr>
          <w:rStyle w:val="EndnoteReference"/>
          <w:rFonts w:eastAsia="Segoe UI" w:cs="Arial"/>
        </w:rPr>
        <w:endnoteReference w:id="26"/>
      </w:r>
    </w:p>
    <w:p w:rsidR="006465A2" w:rsidRDefault="006465A2" w:rsidP="006465A2">
      <w:pPr>
        <w:rPr>
          <w:rFonts w:eastAsia="Segoe UI" w:cs="Arial"/>
        </w:rPr>
      </w:pPr>
      <w:r>
        <w:rPr>
          <w:rFonts w:eastAsia="Segoe UI" w:cs="Arial"/>
          <w:b/>
        </w:rPr>
        <w:t xml:space="preserve">29 </w:t>
      </w:r>
      <w:r>
        <w:rPr>
          <w:rFonts w:eastAsia="Segoe UI" w:cs="Arial"/>
        </w:rPr>
        <w:t>“‘Now if a man should sell a home in a walled city, his right of repurchase will also continue until the end of the year from the time of his completing the sale; his right of repurchase</w:t>
      </w:r>
      <w:r w:rsidR="00D216F4">
        <w:rPr>
          <w:rStyle w:val="EndnoteReference"/>
          <w:rFonts w:eastAsia="Segoe UI" w:cs="Arial"/>
        </w:rPr>
        <w:endnoteReference w:id="27"/>
      </w:r>
      <w:r>
        <w:rPr>
          <w:rFonts w:eastAsia="Segoe UI" w:cs="Arial"/>
        </w:rPr>
        <w:t xml:space="preserve"> will be valid a whole year. </w:t>
      </w:r>
      <w:r>
        <w:rPr>
          <w:rFonts w:eastAsia="Segoe UI" w:cs="Arial"/>
          <w:b/>
        </w:rPr>
        <w:t xml:space="preserve">30 </w:t>
      </w:r>
      <w:r>
        <w:rPr>
          <w:rFonts w:eastAsia="Segoe UI" w:cs="Arial"/>
        </w:rPr>
        <w:t xml:space="preserve">But if it is not bought back by the end of one full year, the house within the walled city will become the permanent property of its purchaser throughout his generations. It should not be released in the Jubilee. </w:t>
      </w:r>
      <w:r>
        <w:rPr>
          <w:rFonts w:eastAsia="Segoe UI" w:cs="Arial"/>
          <w:b/>
        </w:rPr>
        <w:t xml:space="preserve">31 </w:t>
      </w:r>
      <w:r>
        <w:rPr>
          <w:rFonts w:eastAsia="Segoe UI" w:cs="Arial"/>
        </w:rPr>
        <w:t>However, the houses of settlements with no surrounding wall should be considered to be part of the field of the countryside. The right of repurchase should continue for it, and it should be released in the Jubilee.</w:t>
      </w:r>
    </w:p>
    <w:p w:rsidR="006465A2" w:rsidRDefault="006465A2" w:rsidP="006465A2">
      <w:pPr>
        <w:rPr>
          <w:rFonts w:eastAsia="Segoe UI" w:cs="Arial"/>
        </w:rPr>
      </w:pPr>
      <w:r>
        <w:rPr>
          <w:rFonts w:eastAsia="Segoe UI" w:cs="Arial"/>
          <w:b/>
        </w:rPr>
        <w:t xml:space="preserve">32 </w:t>
      </w:r>
      <w:r>
        <w:rPr>
          <w:rFonts w:eastAsia="Segoe UI" w:cs="Arial"/>
        </w:rPr>
        <w:t>“‘As for the houses of the Levites within their cities,</w:t>
      </w:r>
      <w:r w:rsidR="00D216F4">
        <w:rPr>
          <w:rStyle w:val="EndnoteReference"/>
          <w:rFonts w:eastAsia="Segoe UI" w:cs="Arial"/>
        </w:rPr>
        <w:endnoteReference w:id="28"/>
      </w:r>
      <w:r>
        <w:rPr>
          <w:rFonts w:eastAsia="Segoe UI" w:cs="Arial"/>
        </w:rPr>
        <w:t xml:space="preserve"> the Levites will have the permanent right to repurchase them. </w:t>
      </w:r>
      <w:r>
        <w:rPr>
          <w:rFonts w:eastAsia="Segoe UI" w:cs="Arial"/>
          <w:b/>
        </w:rPr>
        <w:t xml:space="preserve">33 </w:t>
      </w:r>
      <w:r>
        <w:rPr>
          <w:rFonts w:eastAsia="Segoe UI" w:cs="Arial"/>
        </w:rPr>
        <w:t>When the property of the Levites is not bought back, the house sold in the city belonging to them will also be released in the Jubilee,</w:t>
      </w:r>
      <w:r w:rsidR="00D216F4">
        <w:rPr>
          <w:rStyle w:val="EndnoteReference"/>
          <w:rFonts w:eastAsia="Segoe UI" w:cs="Arial"/>
        </w:rPr>
        <w:endnoteReference w:id="29"/>
      </w:r>
      <w:r>
        <w:rPr>
          <w:rFonts w:eastAsia="Segoe UI" w:cs="Arial"/>
        </w:rPr>
        <w:t xml:space="preserve"> because the houses of the cities of the Levites are their property among the Israelites.</w:t>
      </w:r>
      <w:r w:rsidR="00D216F4">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34 </w:t>
      </w:r>
      <w:r>
        <w:rPr>
          <w:rFonts w:eastAsia="Segoe UI" w:cs="Arial"/>
        </w:rPr>
        <w:t>Moreover, the field of pasture ground</w:t>
      </w:r>
      <w:r w:rsidR="00D216F4">
        <w:rPr>
          <w:rStyle w:val="EndnoteReference"/>
          <w:rFonts w:eastAsia="Segoe UI" w:cs="Arial"/>
        </w:rPr>
        <w:endnoteReference w:id="31"/>
      </w:r>
      <w:r>
        <w:rPr>
          <w:rFonts w:eastAsia="Segoe UI" w:cs="Arial"/>
        </w:rPr>
        <w:t xml:space="preserve"> surrounding their cities may not be sold, for it is their permanent possession.</w:t>
      </w:r>
    </w:p>
    <w:p w:rsidR="006465A2" w:rsidRDefault="006465A2" w:rsidP="006465A2">
      <w:pPr>
        <w:rPr>
          <w:rFonts w:ascii="MEPS Bookman WTS" w:eastAsia="Segoe UI" w:hAnsi="MEPS Bookman WTS" w:cs="Segoe UI"/>
        </w:rPr>
      </w:pPr>
      <w:r>
        <w:rPr>
          <w:rFonts w:eastAsia="Segoe UI" w:cs="Arial"/>
          <w:b/>
        </w:rPr>
        <w:t xml:space="preserve">35 </w:t>
      </w:r>
      <w:r>
        <w:rPr>
          <w:rFonts w:eastAsia="Segoe UI" w:cs="Arial"/>
        </w:rPr>
        <w:t>“‘If your brother who is nearby becomes poor and cannot support himself, you must sustain him</w:t>
      </w:r>
      <w:r w:rsidR="00D216F4">
        <w:rPr>
          <w:rStyle w:val="EndnoteReference"/>
          <w:rFonts w:eastAsia="Segoe UI" w:cs="Arial"/>
        </w:rPr>
        <w:endnoteReference w:id="32"/>
      </w:r>
      <w:r>
        <w:rPr>
          <w:rFonts w:eastAsia="Segoe UI" w:cs="Arial"/>
        </w:rPr>
        <w:t xml:space="preserve"> as you would a foreign resident and a settler,</w:t>
      </w:r>
      <w:r w:rsidR="00D216F4">
        <w:rPr>
          <w:rStyle w:val="EndnoteReference"/>
          <w:rFonts w:eastAsia="Segoe UI" w:cs="Arial"/>
        </w:rPr>
        <w:endnoteReference w:id="33"/>
      </w:r>
      <w:r>
        <w:rPr>
          <w:rFonts w:eastAsia="Segoe UI" w:cs="Arial"/>
        </w:rPr>
        <w:t xml:space="preserve"> so that he may keep alive with you. </w:t>
      </w:r>
      <w:r>
        <w:rPr>
          <w:rFonts w:eastAsia="Segoe UI" w:cs="Arial"/>
          <w:b/>
        </w:rPr>
        <w:t xml:space="preserve">36 </w:t>
      </w:r>
      <w:r>
        <w:rPr>
          <w:rFonts w:eastAsia="Segoe UI" w:cs="Arial"/>
        </w:rPr>
        <w:t>Do not take interest or make a profit</w:t>
      </w:r>
      <w:r w:rsidR="00D216F4">
        <w:rPr>
          <w:rStyle w:val="FootnoteReference"/>
          <w:rFonts w:eastAsia="Segoe UI" w:cs="Arial"/>
        </w:rPr>
        <w:footnoteReference w:id="1"/>
      </w:r>
      <w:r>
        <w:rPr>
          <w:rFonts w:eastAsia="Segoe UI" w:cs="Arial"/>
        </w:rPr>
        <w:t xml:space="preserve"> from him.</w:t>
      </w:r>
      <w:r w:rsidR="00D216F4">
        <w:rPr>
          <w:rStyle w:val="EndnoteReference"/>
          <w:rFonts w:eastAsia="Segoe UI" w:cs="Arial"/>
        </w:rPr>
        <w:endnoteReference w:id="34"/>
      </w:r>
      <w:r>
        <w:rPr>
          <w:rFonts w:eastAsia="Segoe UI" w:cs="Arial"/>
        </w:rPr>
        <w:t xml:space="preserve"> You must be in fear of your God,</w:t>
      </w:r>
      <w:r w:rsidR="00D216F4">
        <w:rPr>
          <w:rStyle w:val="EndnoteReference"/>
          <w:rFonts w:eastAsia="Segoe UI" w:cs="Arial"/>
        </w:rPr>
        <w:endnoteReference w:id="35"/>
      </w:r>
      <w:r>
        <w:rPr>
          <w:rFonts w:eastAsia="Segoe UI" w:cs="Arial"/>
        </w:rPr>
        <w:t xml:space="preserve"> and your brother will keep alive with you. </w:t>
      </w:r>
      <w:r>
        <w:rPr>
          <w:rFonts w:eastAsia="Segoe UI" w:cs="Arial"/>
          <w:b/>
        </w:rPr>
        <w:t xml:space="preserve">37 </w:t>
      </w:r>
      <w:r>
        <w:rPr>
          <w:rFonts w:eastAsia="Segoe UI" w:cs="Arial"/>
        </w:rPr>
        <w:t>You must not lend him your money on interest</w:t>
      </w:r>
      <w:r w:rsidR="00D216F4">
        <w:rPr>
          <w:rStyle w:val="EndnoteReference"/>
          <w:rFonts w:eastAsia="Segoe UI" w:cs="Arial"/>
        </w:rPr>
        <w:endnoteReference w:id="36"/>
      </w:r>
      <w:r>
        <w:rPr>
          <w:rFonts w:eastAsia="Segoe UI" w:cs="Arial"/>
        </w:rPr>
        <w:t xml:space="preserve"> or give out your food for profit. </w:t>
      </w:r>
      <w:r>
        <w:rPr>
          <w:rFonts w:eastAsia="Segoe UI" w:cs="Arial"/>
          <w:b/>
        </w:rPr>
        <w:t xml:space="preserve">38 </w:t>
      </w:r>
      <w:r>
        <w:rPr>
          <w:rFonts w:eastAsia="Segoe UI" w:cs="Arial"/>
        </w:rPr>
        <w:t>I am Jehovah your God, who brought you out of the land of Egypt</w:t>
      </w:r>
      <w:r w:rsidR="00D216F4">
        <w:rPr>
          <w:rStyle w:val="EndnoteReference"/>
          <w:rFonts w:eastAsia="Segoe UI" w:cs="Arial"/>
        </w:rPr>
        <w:endnoteReference w:id="37"/>
      </w:r>
      <w:r>
        <w:rPr>
          <w:rFonts w:eastAsia="Segoe UI" w:cs="Arial"/>
        </w:rPr>
        <w:t xml:space="preserve"> to give you the land of Ca′naan, to prove myself your God.</w:t>
      </w:r>
      <w:r w:rsidR="00D216F4">
        <w:rPr>
          <w:rStyle w:val="EndnoteReference"/>
          <w:rFonts w:eastAsia="Segoe UI" w:cs="Arial"/>
        </w:rPr>
        <w:endnoteReference w:id="38"/>
      </w:r>
    </w:p>
    <w:p w:rsidR="006465A2" w:rsidRDefault="006465A2" w:rsidP="006465A2">
      <w:pPr>
        <w:rPr>
          <w:rFonts w:ascii="MEPS Bookman WTS" w:eastAsia="Segoe UI" w:hAnsi="MEPS Bookman WTS" w:cs="Segoe UI"/>
        </w:rPr>
      </w:pPr>
      <w:r>
        <w:rPr>
          <w:rFonts w:eastAsia="Segoe UI" w:cs="Arial"/>
          <w:b/>
        </w:rPr>
        <w:t xml:space="preserve">39 </w:t>
      </w:r>
      <w:r>
        <w:rPr>
          <w:rFonts w:eastAsia="Segoe UI" w:cs="Arial"/>
        </w:rPr>
        <w:t>“‘If your brother who lives nearby becomes poor and he has to sell himself to you,</w:t>
      </w:r>
      <w:r w:rsidR="00D216F4">
        <w:rPr>
          <w:rStyle w:val="EndnoteReference"/>
          <w:rFonts w:eastAsia="Segoe UI" w:cs="Arial"/>
        </w:rPr>
        <w:endnoteReference w:id="39"/>
      </w:r>
      <w:r>
        <w:rPr>
          <w:rFonts w:eastAsia="Segoe UI" w:cs="Arial"/>
        </w:rPr>
        <w:t xml:space="preserve"> you must not force him to do slave labor.</w:t>
      </w:r>
      <w:r w:rsidR="00D216F4">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40 </w:t>
      </w:r>
      <w:r>
        <w:rPr>
          <w:rFonts w:eastAsia="Segoe UI" w:cs="Arial"/>
        </w:rPr>
        <w:t>He should be treated like a hired worker,</w:t>
      </w:r>
      <w:r w:rsidR="00D216F4">
        <w:rPr>
          <w:rStyle w:val="EndnoteReference"/>
          <w:rFonts w:eastAsia="Segoe UI" w:cs="Arial"/>
        </w:rPr>
        <w:endnoteReference w:id="41"/>
      </w:r>
      <w:r>
        <w:rPr>
          <w:rFonts w:eastAsia="Segoe UI" w:cs="Arial"/>
        </w:rPr>
        <w:t xml:space="preserve"> like a settler. He should serve with you until the Jubilee year. </w:t>
      </w:r>
      <w:r>
        <w:rPr>
          <w:rFonts w:eastAsia="Segoe UI" w:cs="Arial"/>
          <w:b/>
        </w:rPr>
        <w:t xml:space="preserve">41 </w:t>
      </w:r>
      <w:r>
        <w:rPr>
          <w:rFonts w:eastAsia="Segoe UI" w:cs="Arial"/>
        </w:rPr>
        <w:t>Then he will leave you, he and his children</w:t>
      </w:r>
      <w:r w:rsidR="00D216F4">
        <w:rPr>
          <w:rStyle w:val="FootnoteReference"/>
          <w:rFonts w:eastAsia="Segoe UI" w:cs="Arial"/>
        </w:rPr>
        <w:footnoteReference w:id="2"/>
      </w:r>
      <w:r>
        <w:rPr>
          <w:rFonts w:eastAsia="Segoe UI" w:cs="Arial"/>
        </w:rPr>
        <w:t xml:space="preserve"> with him, and return to his family. He should return to the property of his forefathers.</w:t>
      </w:r>
      <w:r w:rsidR="00D216F4">
        <w:rPr>
          <w:rStyle w:val="EndnoteReference"/>
          <w:rFonts w:eastAsia="Segoe UI" w:cs="Arial"/>
        </w:rPr>
        <w:endnoteReference w:id="42"/>
      </w:r>
      <w:r>
        <w:rPr>
          <w:rFonts w:ascii="MEPS Bookman WTS" w:eastAsia="Segoe UI" w:hAnsi="MEPS Bookman WTS" w:cs="Segoe UI"/>
        </w:rPr>
        <w:t xml:space="preserve"> </w:t>
      </w:r>
      <w:r>
        <w:rPr>
          <w:rFonts w:eastAsia="Segoe UI" w:cs="Arial"/>
          <w:b/>
        </w:rPr>
        <w:t xml:space="preserve">42 </w:t>
      </w:r>
      <w:r>
        <w:rPr>
          <w:rFonts w:eastAsia="Segoe UI" w:cs="Arial"/>
        </w:rPr>
        <w:t>For they are my slaves whom I brought out of the land of Egypt.</w:t>
      </w:r>
      <w:r w:rsidR="00D216F4">
        <w:rPr>
          <w:rStyle w:val="EndnoteReference"/>
          <w:rFonts w:eastAsia="Segoe UI" w:cs="Arial"/>
        </w:rPr>
        <w:endnoteReference w:id="43"/>
      </w:r>
      <w:r>
        <w:rPr>
          <w:rFonts w:eastAsia="Segoe UI" w:cs="Arial"/>
        </w:rPr>
        <w:t xml:space="preserve"> They should not sell themselves the way a slave is sold. </w:t>
      </w:r>
      <w:r>
        <w:rPr>
          <w:rFonts w:eastAsia="Segoe UI" w:cs="Arial"/>
          <w:b/>
        </w:rPr>
        <w:t xml:space="preserve">43 </w:t>
      </w:r>
      <w:r>
        <w:rPr>
          <w:rFonts w:eastAsia="Segoe UI" w:cs="Arial"/>
        </w:rPr>
        <w:t>You must not treat him cruelly,</w:t>
      </w:r>
      <w:r w:rsidR="00D216F4">
        <w:rPr>
          <w:rStyle w:val="EndnoteReference"/>
          <w:rFonts w:eastAsia="Segoe UI" w:cs="Arial"/>
        </w:rPr>
        <w:endnoteReference w:id="44"/>
      </w:r>
      <w:r>
        <w:rPr>
          <w:rFonts w:eastAsia="Segoe UI" w:cs="Arial"/>
        </w:rPr>
        <w:t xml:space="preserve"> and you must be in fear of your God.</w:t>
      </w:r>
      <w:r w:rsidR="00D216F4">
        <w:rPr>
          <w:rStyle w:val="EndnoteReference"/>
          <w:rFonts w:eastAsia="Segoe UI" w:cs="Arial"/>
        </w:rPr>
        <w:endnoteReference w:id="45"/>
      </w:r>
      <w:r>
        <w:rPr>
          <w:rFonts w:ascii="MEPS Bookman WTS" w:eastAsia="Segoe UI" w:hAnsi="MEPS Bookman WTS" w:cs="Segoe UI"/>
        </w:rPr>
        <w:t xml:space="preserve"> </w:t>
      </w:r>
      <w:r>
        <w:rPr>
          <w:rFonts w:eastAsia="Segoe UI" w:cs="Arial"/>
          <w:b/>
        </w:rPr>
        <w:t xml:space="preserve">44 </w:t>
      </w:r>
      <w:r>
        <w:rPr>
          <w:rFonts w:eastAsia="Segoe UI" w:cs="Arial"/>
        </w:rPr>
        <w:t xml:space="preserve">Your male and female slaves are to come from the nations around you, from them you may buy a male or a female slave. </w:t>
      </w:r>
      <w:r>
        <w:rPr>
          <w:rFonts w:eastAsia="Segoe UI" w:cs="Arial"/>
          <w:b/>
        </w:rPr>
        <w:t xml:space="preserve">45 </w:t>
      </w:r>
      <w:r>
        <w:rPr>
          <w:rFonts w:eastAsia="Segoe UI" w:cs="Arial"/>
        </w:rPr>
        <w:t>Also from the sons of the foreign settlers who are residing with you,</w:t>
      </w:r>
      <w:r w:rsidR="00D216F4">
        <w:rPr>
          <w:rStyle w:val="EndnoteReference"/>
          <w:rFonts w:eastAsia="Segoe UI" w:cs="Arial"/>
        </w:rPr>
        <w:endnoteReference w:id="46"/>
      </w:r>
      <w:r>
        <w:rPr>
          <w:rFonts w:eastAsia="Segoe UI" w:cs="Arial"/>
        </w:rPr>
        <w:t xml:space="preserve"> from them and from their families that are born to them in your land you may buy slaves, and they will become your possession. </w:t>
      </w:r>
      <w:r>
        <w:rPr>
          <w:rFonts w:eastAsia="Segoe UI" w:cs="Arial"/>
          <w:b/>
        </w:rPr>
        <w:t xml:space="preserve">46 </w:t>
      </w:r>
      <w:r>
        <w:rPr>
          <w:rFonts w:eastAsia="Segoe UI" w:cs="Arial"/>
        </w:rPr>
        <w:t>You may pass them on as an inheritance to your sons after you to inherit as a permanent possession. You may use them as workers, but you must not subject your Israelite brothers to cruel treatment.</w:t>
      </w:r>
      <w:r w:rsidR="00D216F4">
        <w:rPr>
          <w:rStyle w:val="EndnoteReference"/>
          <w:rFonts w:eastAsia="Segoe UI" w:cs="Arial"/>
        </w:rPr>
        <w:endnoteReference w:id="47"/>
      </w:r>
    </w:p>
    <w:p w:rsidR="006465A2" w:rsidRDefault="006465A2" w:rsidP="006465A2">
      <w:pPr>
        <w:rPr>
          <w:rFonts w:eastAsia="Segoe UI" w:cs="Arial"/>
        </w:rPr>
      </w:pPr>
      <w:r>
        <w:rPr>
          <w:rFonts w:eastAsia="Segoe UI" w:cs="Arial"/>
          <w:b/>
        </w:rPr>
        <w:t xml:space="preserve">47 </w:t>
      </w:r>
      <w:r>
        <w:rPr>
          <w:rFonts w:eastAsia="Segoe UI" w:cs="Arial"/>
        </w:rPr>
        <w:t xml:space="preserve">“‘But if a foreign resident or a settler among you becomes wealthy and your brother has become poor alongside him and must sell himself to the foreign resident or the settler who lives among you, or to a member of the family of the foreign resident, </w:t>
      </w:r>
      <w:r>
        <w:rPr>
          <w:rFonts w:eastAsia="Segoe UI" w:cs="Arial"/>
          <w:b/>
        </w:rPr>
        <w:t xml:space="preserve">48 </w:t>
      </w:r>
      <w:r>
        <w:rPr>
          <w:rFonts w:eastAsia="Segoe UI" w:cs="Arial"/>
        </w:rPr>
        <w:t>he will continue to have the right of repurchase after he has sold himself. One of his brothers may buy him back,</w:t>
      </w:r>
      <w:r w:rsidR="00D216F4">
        <w:rPr>
          <w:rStyle w:val="EndnoteReference"/>
          <w:rFonts w:eastAsia="Segoe UI" w:cs="Arial"/>
        </w:rPr>
        <w:endnoteReference w:id="48"/>
      </w:r>
      <w:r>
        <w:rPr>
          <w:rFonts w:ascii="MEPS Bookman WTS" w:eastAsia="Segoe UI" w:hAnsi="MEPS Bookman WTS" w:cs="Segoe UI"/>
        </w:rPr>
        <w:t xml:space="preserve"> </w:t>
      </w:r>
      <w:r>
        <w:rPr>
          <w:rFonts w:eastAsia="Segoe UI" w:cs="Arial"/>
          <w:b/>
        </w:rPr>
        <w:t xml:space="preserve">49 </w:t>
      </w:r>
      <w:r>
        <w:rPr>
          <w:rFonts w:eastAsia="Segoe UI" w:cs="Arial"/>
        </w:rPr>
        <w:t>or his uncle or the son of his uncle may buy him back, or any close relative,</w:t>
      </w:r>
      <w:r w:rsidR="00D216F4">
        <w:rPr>
          <w:rStyle w:val="FootnoteReference"/>
          <w:rFonts w:eastAsia="Segoe UI" w:cs="Arial"/>
        </w:rPr>
        <w:footnoteReference w:id="3"/>
      </w:r>
      <w:r>
        <w:rPr>
          <w:rFonts w:eastAsia="Segoe UI" w:cs="Arial"/>
        </w:rPr>
        <w:t xml:space="preserve"> one of his family, may buy him back.</w:t>
      </w:r>
    </w:p>
    <w:p w:rsidR="006465A2" w:rsidRDefault="006465A2" w:rsidP="006465A2">
      <w:pPr>
        <w:rPr>
          <w:rFonts w:eastAsia="Segoe UI" w:cs="Arial"/>
        </w:rPr>
      </w:pPr>
      <w:r>
        <w:rPr>
          <w:rFonts w:eastAsia="Segoe UI" w:cs="Arial"/>
        </w:rPr>
        <w:t>“‘Or if he himself has become wealthy, he may also buy himself back.</w:t>
      </w:r>
      <w:r w:rsidR="00D216F4">
        <w:rPr>
          <w:rStyle w:val="EndnoteReference"/>
          <w:rFonts w:eastAsia="Segoe UI" w:cs="Arial"/>
        </w:rPr>
        <w:endnoteReference w:id="49"/>
      </w:r>
      <w:r>
        <w:rPr>
          <w:rFonts w:ascii="MEPS Bookman WTS" w:eastAsia="Segoe UI" w:hAnsi="MEPS Bookman WTS" w:cs="Segoe UI"/>
        </w:rPr>
        <w:t xml:space="preserve"> </w:t>
      </w:r>
      <w:r>
        <w:rPr>
          <w:rFonts w:eastAsia="Segoe UI" w:cs="Arial"/>
          <w:b/>
        </w:rPr>
        <w:t xml:space="preserve">50 </w:t>
      </w:r>
      <w:r>
        <w:rPr>
          <w:rFonts w:eastAsia="Segoe UI" w:cs="Arial"/>
        </w:rPr>
        <w:t>He should calculate with his purchaser the time from the year he sold himself to him until the Jubilee year,</w:t>
      </w:r>
      <w:r w:rsidR="00D216F4">
        <w:rPr>
          <w:rStyle w:val="EndnoteReference"/>
          <w:rFonts w:eastAsia="Segoe UI" w:cs="Arial"/>
        </w:rPr>
        <w:endnoteReference w:id="50"/>
      </w:r>
      <w:r>
        <w:rPr>
          <w:rFonts w:eastAsia="Segoe UI" w:cs="Arial"/>
        </w:rPr>
        <w:t xml:space="preserve"> and the money of his sale will correspond to the number of years.</w:t>
      </w:r>
      <w:r w:rsidR="00D216F4">
        <w:rPr>
          <w:rStyle w:val="EndnoteReference"/>
          <w:rFonts w:eastAsia="Segoe UI" w:cs="Arial"/>
        </w:rPr>
        <w:endnoteReference w:id="51"/>
      </w:r>
      <w:r>
        <w:rPr>
          <w:rFonts w:eastAsia="Segoe UI" w:cs="Arial"/>
        </w:rPr>
        <w:t xml:space="preserve"> His workdays during that time will be assessed at the rate of a hired worker.</w:t>
      </w:r>
      <w:r w:rsidR="00D216F4">
        <w:rPr>
          <w:rStyle w:val="EndnoteReference"/>
          <w:rFonts w:eastAsia="Segoe UI" w:cs="Arial"/>
        </w:rPr>
        <w:endnoteReference w:id="52"/>
      </w:r>
      <w:r>
        <w:rPr>
          <w:rFonts w:ascii="MEPS Bookman WTS" w:eastAsia="Segoe UI" w:hAnsi="MEPS Bookman WTS" w:cs="Segoe UI"/>
        </w:rPr>
        <w:t xml:space="preserve"> </w:t>
      </w:r>
      <w:r>
        <w:rPr>
          <w:rFonts w:eastAsia="Segoe UI" w:cs="Arial"/>
          <w:b/>
        </w:rPr>
        <w:t xml:space="preserve">51 </w:t>
      </w:r>
      <w:r>
        <w:rPr>
          <w:rFonts w:eastAsia="Segoe UI" w:cs="Arial"/>
        </w:rPr>
        <w:t xml:space="preserve">If there are many years remaining, he should pay his repurchase price in proportion to the years that are left. </w:t>
      </w:r>
      <w:r>
        <w:rPr>
          <w:rFonts w:eastAsia="Segoe UI" w:cs="Arial"/>
          <w:b/>
        </w:rPr>
        <w:t xml:space="preserve">52 </w:t>
      </w:r>
      <w:r>
        <w:rPr>
          <w:rFonts w:eastAsia="Segoe UI" w:cs="Arial"/>
        </w:rPr>
        <w:t xml:space="preserve">But if only a few years remain until the Jubilee year, he should then calculate for himself and pay his repurchase price in proportion to the years remaining. </w:t>
      </w:r>
      <w:r>
        <w:rPr>
          <w:rFonts w:eastAsia="Segoe UI" w:cs="Arial"/>
          <w:b/>
        </w:rPr>
        <w:t xml:space="preserve">53 </w:t>
      </w:r>
      <w:r>
        <w:rPr>
          <w:rFonts w:eastAsia="Segoe UI" w:cs="Arial"/>
        </w:rPr>
        <w:t>He should continue to serve him year by year as a hired worker; and you should see to it that he does not treat him cruelly.</w:t>
      </w:r>
      <w:r w:rsidR="00D216F4">
        <w:rPr>
          <w:rStyle w:val="EndnoteReference"/>
          <w:rFonts w:eastAsia="Segoe UI" w:cs="Arial"/>
        </w:rPr>
        <w:endnoteReference w:id="53"/>
      </w:r>
      <w:r>
        <w:rPr>
          <w:rFonts w:ascii="MEPS Bookman WTS" w:eastAsia="Segoe UI" w:hAnsi="MEPS Bookman WTS" w:cs="Segoe UI"/>
        </w:rPr>
        <w:t xml:space="preserve"> </w:t>
      </w:r>
      <w:r>
        <w:rPr>
          <w:rFonts w:eastAsia="Segoe UI" w:cs="Arial"/>
          <w:b/>
        </w:rPr>
        <w:t xml:space="preserve">54 </w:t>
      </w:r>
      <w:r>
        <w:rPr>
          <w:rFonts w:eastAsia="Segoe UI" w:cs="Arial"/>
        </w:rPr>
        <w:t>However, if he cannot buy himself back on these terms, he will then go free in the year of Jubilee,</w:t>
      </w:r>
      <w:r w:rsidR="00D216F4">
        <w:rPr>
          <w:rStyle w:val="EndnoteReference"/>
          <w:rFonts w:eastAsia="Segoe UI" w:cs="Arial"/>
        </w:rPr>
        <w:endnoteReference w:id="54"/>
      </w:r>
      <w:r>
        <w:rPr>
          <w:rFonts w:eastAsia="Segoe UI" w:cs="Arial"/>
        </w:rPr>
        <w:t xml:space="preserve"> he and his children</w:t>
      </w:r>
      <w:r w:rsidR="00D216F4">
        <w:rPr>
          <w:rStyle w:val="FootnoteReference"/>
          <w:rFonts w:eastAsia="Segoe UI" w:cs="Arial"/>
        </w:rPr>
        <w:footnoteReference w:id="4"/>
      </w:r>
      <w:r>
        <w:rPr>
          <w:rFonts w:eastAsia="Segoe UI" w:cs="Arial"/>
        </w:rPr>
        <w:t xml:space="preserve"> with him.</w:t>
      </w:r>
    </w:p>
    <w:p w:rsidR="006465A2" w:rsidRDefault="006465A2" w:rsidP="006465A2">
      <w:pPr>
        <w:rPr>
          <w:rFonts w:eastAsia="Segoe UI" w:cs="Arial"/>
        </w:rPr>
      </w:pPr>
      <w:r>
        <w:rPr>
          <w:rFonts w:eastAsia="Segoe UI" w:cs="Arial"/>
          <w:b/>
        </w:rPr>
        <w:t xml:space="preserve">55 </w:t>
      </w:r>
      <w:r>
        <w:rPr>
          <w:rFonts w:eastAsia="Segoe UI" w:cs="Arial"/>
        </w:rPr>
        <w:t>“‘For the Israelites are my own slaves. They are my slaves whom I brought out of the land of Egypt.</w:t>
      </w:r>
      <w:r w:rsidR="00D216F4">
        <w:rPr>
          <w:rStyle w:val="EndnoteReference"/>
          <w:rFonts w:eastAsia="Segoe UI" w:cs="Arial"/>
        </w:rPr>
        <w:endnoteReference w:id="55"/>
      </w:r>
      <w:r>
        <w:rPr>
          <w:rFonts w:eastAsia="Segoe UI" w:cs="Arial"/>
        </w:rPr>
        <w:t xml:space="preserve"> I am Jehovah your God.</w:t>
      </w:r>
    </w:p>
    <w:p w:rsidR="00762BCB" w:rsidRPr="006465A2" w:rsidRDefault="00762BCB" w:rsidP="006465A2"/>
    <w:sectPr w:rsidR="00762BCB" w:rsidRPr="006465A2"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070E" w:rsidRDefault="0038070E">
      <w:r>
        <w:separator/>
      </w:r>
    </w:p>
  </w:endnote>
  <w:endnote w:type="continuationSeparator" w:id="0">
    <w:p w:rsidR="0038070E" w:rsidRDefault="0038070E">
      <w:r>
        <w:continuationSeparator/>
      </w:r>
    </w:p>
  </w:endnote>
  <w:endnote w:id="1">
    <w:p w:rsidR="00D216F4" w:rsidRDefault="00D216F4">
      <w:pPr>
        <w:pStyle w:val="EndnoteText"/>
      </w:pPr>
      <w:r>
        <w:rPr>
          <w:rStyle w:val="EndnoteReference"/>
        </w:rPr>
        <w:endnoteRef/>
      </w:r>
      <w:r>
        <w:t xml:space="preserve"> Genesis 15:16</w:t>
      </w:r>
    </w:p>
  </w:endnote>
  <w:endnote w:id="2">
    <w:p w:rsidR="00D216F4" w:rsidRDefault="00D216F4">
      <w:pPr>
        <w:pStyle w:val="EndnoteText"/>
      </w:pPr>
      <w:r>
        <w:rPr>
          <w:rStyle w:val="EndnoteReference"/>
        </w:rPr>
        <w:endnoteRef/>
      </w:r>
      <w:r>
        <w:t xml:space="preserve"> Leviticus 26:34; 2 Chronicles 36:20, 21</w:t>
      </w:r>
    </w:p>
  </w:endnote>
  <w:endnote w:id="3">
    <w:p w:rsidR="00D216F4" w:rsidRDefault="00D216F4">
      <w:pPr>
        <w:pStyle w:val="EndnoteText"/>
      </w:pPr>
      <w:r>
        <w:rPr>
          <w:rStyle w:val="EndnoteReference"/>
        </w:rPr>
        <w:endnoteRef/>
      </w:r>
      <w:r>
        <w:t xml:space="preserve"> Exodus 23:10, 11</w:t>
      </w:r>
    </w:p>
  </w:endnote>
  <w:endnote w:id="4">
    <w:p w:rsidR="00D216F4" w:rsidRDefault="00D216F4">
      <w:pPr>
        <w:pStyle w:val="EndnoteText"/>
      </w:pPr>
      <w:r>
        <w:rPr>
          <w:rStyle w:val="EndnoteReference"/>
        </w:rPr>
        <w:endnoteRef/>
      </w:r>
      <w:r>
        <w:t xml:space="preserve"> Leviticus 16:30; 23:27, 28</w:t>
      </w:r>
    </w:p>
  </w:endnote>
  <w:endnote w:id="5">
    <w:p w:rsidR="00D216F4" w:rsidRDefault="00D216F4">
      <w:pPr>
        <w:pStyle w:val="EndnoteText"/>
      </w:pPr>
      <w:r>
        <w:rPr>
          <w:rStyle w:val="EndnoteReference"/>
        </w:rPr>
        <w:endnoteRef/>
      </w:r>
      <w:r>
        <w:t xml:space="preserve"> Isaiah 61:1, 2; Luke 4:18, 19; Romans 8:20, 21</w:t>
      </w:r>
    </w:p>
  </w:endnote>
  <w:endnote w:id="6">
    <w:p w:rsidR="00D216F4" w:rsidRDefault="00D216F4">
      <w:pPr>
        <w:pStyle w:val="EndnoteText"/>
      </w:pPr>
      <w:r>
        <w:rPr>
          <w:rStyle w:val="EndnoteReference"/>
        </w:rPr>
        <w:endnoteRef/>
      </w:r>
      <w:r>
        <w:t xml:space="preserve"> Leviticus 27:24; Numbers 36:4; Deuteronomy 15:1</w:t>
      </w:r>
    </w:p>
  </w:endnote>
  <w:endnote w:id="7">
    <w:p w:rsidR="00D216F4" w:rsidRDefault="00D216F4">
      <w:pPr>
        <w:pStyle w:val="EndnoteText"/>
      </w:pPr>
      <w:r>
        <w:rPr>
          <w:rStyle w:val="EndnoteReference"/>
        </w:rPr>
        <w:endnoteRef/>
      </w:r>
      <w:r>
        <w:t xml:space="preserve"> Leviticus 25:5</w:t>
      </w:r>
    </w:p>
  </w:endnote>
  <w:endnote w:id="8">
    <w:p w:rsidR="00D216F4" w:rsidRDefault="00D216F4">
      <w:pPr>
        <w:pStyle w:val="EndnoteText"/>
      </w:pPr>
      <w:r>
        <w:rPr>
          <w:rStyle w:val="EndnoteReference"/>
        </w:rPr>
        <w:endnoteRef/>
      </w:r>
      <w:r>
        <w:t xml:space="preserve"> Exodus 23:11; Leviticus 25:6</w:t>
      </w:r>
    </w:p>
  </w:endnote>
  <w:endnote w:id="9">
    <w:p w:rsidR="00D216F4" w:rsidRDefault="00D216F4">
      <w:pPr>
        <w:pStyle w:val="EndnoteText"/>
      </w:pPr>
      <w:r>
        <w:rPr>
          <w:rStyle w:val="EndnoteReference"/>
        </w:rPr>
        <w:endnoteRef/>
      </w:r>
      <w:r>
        <w:t xml:space="preserve"> Leviticus 25:29, 30; 27:24</w:t>
      </w:r>
    </w:p>
  </w:endnote>
  <w:endnote w:id="10">
    <w:p w:rsidR="00D216F4" w:rsidRDefault="00D216F4">
      <w:pPr>
        <w:pStyle w:val="EndnoteText"/>
      </w:pPr>
      <w:r>
        <w:rPr>
          <w:rStyle w:val="EndnoteReference"/>
        </w:rPr>
        <w:endnoteRef/>
      </w:r>
      <w:r>
        <w:t xml:space="preserve"> 1 Samuel 12:3; Proverbs 14:31</w:t>
      </w:r>
    </w:p>
  </w:endnote>
  <w:endnote w:id="11">
    <w:p w:rsidR="00D216F4" w:rsidRDefault="00D216F4">
      <w:pPr>
        <w:pStyle w:val="EndnoteText"/>
      </w:pPr>
      <w:r>
        <w:rPr>
          <w:rStyle w:val="EndnoteReference"/>
        </w:rPr>
        <w:endnoteRef/>
      </w:r>
      <w:r>
        <w:t xml:space="preserve"> Leviticus 27:18</w:t>
      </w:r>
    </w:p>
  </w:endnote>
  <w:endnote w:id="12">
    <w:p w:rsidR="00D216F4" w:rsidRDefault="00D216F4">
      <w:pPr>
        <w:pStyle w:val="EndnoteText"/>
      </w:pPr>
      <w:r>
        <w:rPr>
          <w:rStyle w:val="EndnoteReference"/>
        </w:rPr>
        <w:endnoteRef/>
      </w:r>
      <w:r>
        <w:t xml:space="preserve"> Leviticus 19:13; Proverbs 22:22</w:t>
      </w:r>
    </w:p>
  </w:endnote>
  <w:endnote w:id="13">
    <w:p w:rsidR="00D216F4" w:rsidRDefault="00D216F4">
      <w:pPr>
        <w:pStyle w:val="EndnoteText"/>
      </w:pPr>
      <w:r>
        <w:rPr>
          <w:rStyle w:val="EndnoteReference"/>
        </w:rPr>
        <w:endnoteRef/>
      </w:r>
      <w:r>
        <w:t xml:space="preserve"> Leviticus 25:43; Proverbs 1:7; 8:13</w:t>
      </w:r>
    </w:p>
  </w:endnote>
  <w:endnote w:id="14">
    <w:p w:rsidR="00D216F4" w:rsidRDefault="00D216F4">
      <w:pPr>
        <w:pStyle w:val="EndnoteText"/>
      </w:pPr>
      <w:r>
        <w:rPr>
          <w:rStyle w:val="EndnoteReference"/>
        </w:rPr>
        <w:endnoteRef/>
      </w:r>
      <w:r>
        <w:t xml:space="preserve"> Isaiah 33:22</w:t>
      </w:r>
    </w:p>
  </w:endnote>
  <w:endnote w:id="15">
    <w:p w:rsidR="00D216F4" w:rsidRDefault="00D216F4">
      <w:pPr>
        <w:pStyle w:val="EndnoteText"/>
      </w:pPr>
      <w:r>
        <w:rPr>
          <w:rStyle w:val="EndnoteReference"/>
        </w:rPr>
        <w:endnoteRef/>
      </w:r>
      <w:r>
        <w:t xml:space="preserve"> Deuteronomy 12:10; Psalms 4:8; Proverbs 1:33</w:t>
      </w:r>
    </w:p>
  </w:endnote>
  <w:endnote w:id="16">
    <w:p w:rsidR="00D216F4" w:rsidRDefault="00D216F4">
      <w:pPr>
        <w:pStyle w:val="EndnoteText"/>
      </w:pPr>
      <w:r>
        <w:rPr>
          <w:rStyle w:val="EndnoteReference"/>
        </w:rPr>
        <w:endnoteRef/>
      </w:r>
      <w:r>
        <w:t xml:space="preserve"> Psalms 67:6</w:t>
      </w:r>
    </w:p>
  </w:endnote>
  <w:endnote w:id="17">
    <w:p w:rsidR="00D216F4" w:rsidRDefault="00D216F4">
      <w:pPr>
        <w:pStyle w:val="EndnoteText"/>
      </w:pPr>
      <w:r>
        <w:rPr>
          <w:rStyle w:val="EndnoteReference"/>
        </w:rPr>
        <w:endnoteRef/>
      </w:r>
      <w:r>
        <w:t xml:space="preserve"> Leviticus 26:3-5</w:t>
      </w:r>
    </w:p>
  </w:endnote>
  <w:endnote w:id="18">
    <w:p w:rsidR="00D216F4" w:rsidRDefault="00D216F4">
      <w:pPr>
        <w:pStyle w:val="EndnoteText"/>
      </w:pPr>
      <w:r>
        <w:rPr>
          <w:rStyle w:val="EndnoteReference"/>
        </w:rPr>
        <w:endnoteRef/>
      </w:r>
      <w:r>
        <w:t xml:space="preserve"> Leviticus 25:4, 5; Matthew 6:25</w:t>
      </w:r>
    </w:p>
  </w:endnote>
  <w:endnote w:id="19">
    <w:p w:rsidR="00D216F4" w:rsidRDefault="00D216F4">
      <w:pPr>
        <w:pStyle w:val="EndnoteText"/>
      </w:pPr>
      <w:r>
        <w:rPr>
          <w:rStyle w:val="EndnoteReference"/>
        </w:rPr>
        <w:endnoteRef/>
      </w:r>
      <w:r>
        <w:t xml:space="preserve"> Genesis 26:12; Deuteronomy 28:8; Malachi 3:10</w:t>
      </w:r>
    </w:p>
  </w:endnote>
  <w:endnote w:id="20">
    <w:p w:rsidR="00D216F4" w:rsidRDefault="00D216F4">
      <w:pPr>
        <w:pStyle w:val="EndnoteText"/>
      </w:pPr>
      <w:r>
        <w:rPr>
          <w:rStyle w:val="EndnoteReference"/>
        </w:rPr>
        <w:endnoteRef/>
      </w:r>
      <w:r>
        <w:t xml:space="preserve"> 1 Kings 21:3</w:t>
      </w:r>
    </w:p>
  </w:endnote>
  <w:endnote w:id="21">
    <w:p w:rsidR="00D216F4" w:rsidRDefault="00D216F4">
      <w:pPr>
        <w:pStyle w:val="EndnoteText"/>
      </w:pPr>
      <w:r>
        <w:rPr>
          <w:rStyle w:val="EndnoteReference"/>
        </w:rPr>
        <w:endnoteRef/>
      </w:r>
      <w:r>
        <w:t xml:space="preserve"> Psalms 24:1</w:t>
      </w:r>
    </w:p>
  </w:endnote>
  <w:endnote w:id="22">
    <w:p w:rsidR="00D216F4" w:rsidRDefault="00D216F4">
      <w:pPr>
        <w:pStyle w:val="EndnoteText"/>
      </w:pPr>
      <w:r>
        <w:rPr>
          <w:rStyle w:val="EndnoteReference"/>
        </w:rPr>
        <w:endnoteRef/>
      </w:r>
      <w:r>
        <w:t xml:space="preserve"> 1 Chronicles 29:15</w:t>
      </w:r>
    </w:p>
  </w:endnote>
  <w:endnote w:id="23">
    <w:p w:rsidR="00D216F4" w:rsidRDefault="00D216F4">
      <w:pPr>
        <w:pStyle w:val="EndnoteText"/>
      </w:pPr>
      <w:r>
        <w:rPr>
          <w:rStyle w:val="EndnoteReference"/>
        </w:rPr>
        <w:endnoteRef/>
      </w:r>
      <w:r>
        <w:t xml:space="preserve"> Ruth 2:20; 4:4-6</w:t>
      </w:r>
    </w:p>
  </w:endnote>
  <w:endnote w:id="24">
    <w:p w:rsidR="00D216F4" w:rsidRDefault="00D216F4">
      <w:pPr>
        <w:pStyle w:val="EndnoteText"/>
      </w:pPr>
      <w:r>
        <w:rPr>
          <w:rStyle w:val="EndnoteReference"/>
        </w:rPr>
        <w:endnoteRef/>
      </w:r>
      <w:r>
        <w:t xml:space="preserve"> Leviticus 25:50</w:t>
      </w:r>
    </w:p>
  </w:endnote>
  <w:endnote w:id="25">
    <w:p w:rsidR="00D216F4" w:rsidRDefault="00D216F4">
      <w:pPr>
        <w:pStyle w:val="EndnoteText"/>
      </w:pPr>
      <w:r>
        <w:rPr>
          <w:rStyle w:val="EndnoteReference"/>
        </w:rPr>
        <w:endnoteRef/>
      </w:r>
      <w:r>
        <w:t xml:space="preserve"> Leviticus 27:24</w:t>
      </w:r>
    </w:p>
  </w:endnote>
  <w:endnote w:id="26">
    <w:p w:rsidR="00D216F4" w:rsidRDefault="00D216F4">
      <w:pPr>
        <w:pStyle w:val="EndnoteText"/>
      </w:pPr>
      <w:r>
        <w:rPr>
          <w:rStyle w:val="EndnoteReference"/>
        </w:rPr>
        <w:endnoteRef/>
      </w:r>
      <w:r>
        <w:t xml:space="preserve"> Leviticus 25:10, 13</w:t>
      </w:r>
    </w:p>
  </w:endnote>
  <w:endnote w:id="27">
    <w:p w:rsidR="00D216F4" w:rsidRDefault="00D216F4">
      <w:pPr>
        <w:pStyle w:val="EndnoteText"/>
      </w:pPr>
      <w:r>
        <w:rPr>
          <w:rStyle w:val="EndnoteReference"/>
        </w:rPr>
        <w:endnoteRef/>
      </w:r>
      <w:r>
        <w:t xml:space="preserve"> Leviticus 25:25-27</w:t>
      </w:r>
    </w:p>
  </w:endnote>
  <w:endnote w:id="28">
    <w:p w:rsidR="00D216F4" w:rsidRDefault="00D216F4">
      <w:pPr>
        <w:pStyle w:val="EndnoteText"/>
      </w:pPr>
      <w:r>
        <w:rPr>
          <w:rStyle w:val="EndnoteReference"/>
        </w:rPr>
        <w:endnoteRef/>
      </w:r>
      <w:r>
        <w:t xml:space="preserve"> Numbers 35:2, 8</w:t>
      </w:r>
    </w:p>
  </w:endnote>
  <w:endnote w:id="29">
    <w:p w:rsidR="00D216F4" w:rsidRDefault="00D216F4">
      <w:pPr>
        <w:pStyle w:val="EndnoteText"/>
      </w:pPr>
      <w:r>
        <w:rPr>
          <w:rStyle w:val="EndnoteReference"/>
        </w:rPr>
        <w:endnoteRef/>
      </w:r>
      <w:r>
        <w:t xml:space="preserve"> Leviticus 25:28</w:t>
      </w:r>
    </w:p>
  </w:endnote>
  <w:endnote w:id="30">
    <w:p w:rsidR="00D216F4" w:rsidRDefault="00D216F4">
      <w:pPr>
        <w:pStyle w:val="EndnoteText"/>
      </w:pPr>
      <w:r>
        <w:rPr>
          <w:rStyle w:val="EndnoteReference"/>
        </w:rPr>
        <w:endnoteRef/>
      </w:r>
      <w:r>
        <w:t xml:space="preserve"> Numbers 18:20; 35:2, 4; Deuteronomy 18:1</w:t>
      </w:r>
    </w:p>
  </w:endnote>
  <w:endnote w:id="31">
    <w:p w:rsidR="00D216F4" w:rsidRDefault="00D216F4">
      <w:pPr>
        <w:pStyle w:val="EndnoteText"/>
      </w:pPr>
      <w:r>
        <w:rPr>
          <w:rStyle w:val="EndnoteReference"/>
        </w:rPr>
        <w:endnoteRef/>
      </w:r>
      <w:r>
        <w:t xml:space="preserve"> Numbers 35:7; Joshua 14:4</w:t>
      </w:r>
    </w:p>
  </w:endnote>
  <w:endnote w:id="32">
    <w:p w:rsidR="00D216F4" w:rsidRDefault="00D216F4">
      <w:pPr>
        <w:pStyle w:val="EndnoteText"/>
      </w:pPr>
      <w:r>
        <w:rPr>
          <w:rStyle w:val="EndnoteReference"/>
        </w:rPr>
        <w:endnoteRef/>
      </w:r>
      <w:r>
        <w:t xml:space="preserve"> Deuteronomy 15:7; Psalms 41:1; 112:5; Proverbs 3:27; 19:17; Mark 14:7; Acts 11:29; 1 Timothy 6:18; 1 John 3:17</w:t>
      </w:r>
    </w:p>
  </w:endnote>
  <w:endnote w:id="33">
    <w:p w:rsidR="00D216F4" w:rsidRDefault="00D216F4">
      <w:pPr>
        <w:pStyle w:val="EndnoteText"/>
      </w:pPr>
      <w:r>
        <w:rPr>
          <w:rStyle w:val="EndnoteReference"/>
        </w:rPr>
        <w:endnoteRef/>
      </w:r>
      <w:r>
        <w:t xml:space="preserve"> Exodus 22:21; 23:9; Leviticus 19:34; Deuteronomy 10:18</w:t>
      </w:r>
    </w:p>
  </w:endnote>
  <w:endnote w:id="34">
    <w:p w:rsidR="00D216F4" w:rsidRDefault="00D216F4">
      <w:pPr>
        <w:pStyle w:val="EndnoteText"/>
      </w:pPr>
      <w:r>
        <w:rPr>
          <w:rStyle w:val="EndnoteReference"/>
        </w:rPr>
        <w:endnoteRef/>
      </w:r>
      <w:r>
        <w:t xml:space="preserve"> Exodus 22:25; Deuteronomy 23:19; Psalms 15:5; Proverbs 28:8</w:t>
      </w:r>
    </w:p>
  </w:endnote>
  <w:endnote w:id="35">
    <w:p w:rsidR="00D216F4" w:rsidRDefault="00D216F4">
      <w:pPr>
        <w:pStyle w:val="EndnoteText"/>
      </w:pPr>
      <w:r>
        <w:rPr>
          <w:rStyle w:val="EndnoteReference"/>
        </w:rPr>
        <w:endnoteRef/>
      </w:r>
      <w:r>
        <w:t xml:space="preserve"> Proverbs 8:13</w:t>
      </w:r>
    </w:p>
  </w:endnote>
  <w:endnote w:id="36">
    <w:p w:rsidR="00D216F4" w:rsidRDefault="00D216F4">
      <w:pPr>
        <w:pStyle w:val="EndnoteText"/>
      </w:pPr>
      <w:r>
        <w:rPr>
          <w:rStyle w:val="EndnoteReference"/>
        </w:rPr>
        <w:endnoteRef/>
      </w:r>
      <w:r>
        <w:t xml:space="preserve"> Deuteronomy 23:20; Luke 6:34, 35</w:t>
      </w:r>
    </w:p>
  </w:endnote>
  <w:endnote w:id="37">
    <w:p w:rsidR="00D216F4" w:rsidRDefault="00D216F4">
      <w:pPr>
        <w:pStyle w:val="EndnoteText"/>
      </w:pPr>
      <w:r>
        <w:rPr>
          <w:rStyle w:val="EndnoteReference"/>
        </w:rPr>
        <w:endnoteRef/>
      </w:r>
      <w:r>
        <w:t xml:space="preserve"> Exodus 20:2; 1 Kings 8:51</w:t>
      </w:r>
    </w:p>
  </w:endnote>
  <w:endnote w:id="38">
    <w:p w:rsidR="00D216F4" w:rsidRDefault="00D216F4">
      <w:pPr>
        <w:pStyle w:val="EndnoteText"/>
      </w:pPr>
      <w:r>
        <w:rPr>
          <w:rStyle w:val="EndnoteReference"/>
        </w:rPr>
        <w:endnoteRef/>
      </w:r>
      <w:r>
        <w:t xml:space="preserve"> Exodus 6:7</w:t>
      </w:r>
    </w:p>
  </w:endnote>
  <w:endnote w:id="39">
    <w:p w:rsidR="00D216F4" w:rsidRDefault="00D216F4">
      <w:pPr>
        <w:pStyle w:val="EndnoteText"/>
      </w:pPr>
      <w:r>
        <w:rPr>
          <w:rStyle w:val="EndnoteReference"/>
        </w:rPr>
        <w:endnoteRef/>
      </w:r>
      <w:r>
        <w:t xml:space="preserve"> Exodus 21:2; Deuteronomy 15:12</w:t>
      </w:r>
    </w:p>
  </w:endnote>
  <w:endnote w:id="40">
    <w:p w:rsidR="00D216F4" w:rsidRDefault="00D216F4">
      <w:pPr>
        <w:pStyle w:val="EndnoteText"/>
      </w:pPr>
      <w:r>
        <w:rPr>
          <w:rStyle w:val="EndnoteReference"/>
        </w:rPr>
        <w:endnoteRef/>
      </w:r>
      <w:r>
        <w:t xml:space="preserve"> 1 Kings 9:22</w:t>
      </w:r>
    </w:p>
  </w:endnote>
  <w:endnote w:id="41">
    <w:p w:rsidR="00D216F4" w:rsidRDefault="00D216F4">
      <w:pPr>
        <w:pStyle w:val="EndnoteText"/>
      </w:pPr>
      <w:r>
        <w:rPr>
          <w:rStyle w:val="EndnoteReference"/>
        </w:rPr>
        <w:endnoteRef/>
      </w:r>
      <w:r>
        <w:t xml:space="preserve"> Leviticus 25:53</w:t>
      </w:r>
    </w:p>
  </w:endnote>
  <w:endnote w:id="42">
    <w:p w:rsidR="00D216F4" w:rsidRDefault="00D216F4">
      <w:pPr>
        <w:pStyle w:val="EndnoteText"/>
      </w:pPr>
      <w:r>
        <w:rPr>
          <w:rStyle w:val="EndnoteReference"/>
        </w:rPr>
        <w:endnoteRef/>
      </w:r>
      <w:r>
        <w:t xml:space="preserve"> Exodus 21:3; Leviticus 25:10</w:t>
      </w:r>
    </w:p>
  </w:endnote>
  <w:endnote w:id="43">
    <w:p w:rsidR="00D216F4" w:rsidRDefault="00D216F4">
      <w:pPr>
        <w:pStyle w:val="EndnoteText"/>
      </w:pPr>
      <w:r>
        <w:rPr>
          <w:rStyle w:val="EndnoteReference"/>
        </w:rPr>
        <w:endnoteRef/>
      </w:r>
      <w:r>
        <w:t xml:space="preserve"> Exodus 1:13, 14; 19:5; Leviticus 25:55</w:t>
      </w:r>
    </w:p>
  </w:endnote>
  <w:endnote w:id="44">
    <w:p w:rsidR="00D216F4" w:rsidRDefault="00D216F4">
      <w:pPr>
        <w:pStyle w:val="EndnoteText"/>
      </w:pPr>
      <w:r>
        <w:rPr>
          <w:rStyle w:val="EndnoteReference"/>
        </w:rPr>
        <w:endnoteRef/>
      </w:r>
      <w:r>
        <w:t xml:space="preserve"> Exodus 3:7; Ephesians 6:9; Colossians 4:1</w:t>
      </w:r>
    </w:p>
  </w:endnote>
  <w:endnote w:id="45">
    <w:p w:rsidR="00D216F4" w:rsidRDefault="00D216F4">
      <w:pPr>
        <w:pStyle w:val="EndnoteText"/>
      </w:pPr>
      <w:r>
        <w:rPr>
          <w:rStyle w:val="EndnoteReference"/>
        </w:rPr>
        <w:endnoteRef/>
      </w:r>
      <w:r>
        <w:t xml:space="preserve"> Leviticus 25:17; Ecclesiastes 12:13</w:t>
      </w:r>
    </w:p>
  </w:endnote>
  <w:endnote w:id="46">
    <w:p w:rsidR="00D216F4" w:rsidRDefault="00D216F4">
      <w:pPr>
        <w:pStyle w:val="EndnoteText"/>
      </w:pPr>
      <w:r>
        <w:rPr>
          <w:rStyle w:val="EndnoteReference"/>
        </w:rPr>
        <w:endnoteRef/>
      </w:r>
      <w:r>
        <w:t xml:space="preserve"> Exodus 12:38; Joshua 9:21</w:t>
      </w:r>
    </w:p>
  </w:endnote>
  <w:endnote w:id="47">
    <w:p w:rsidR="00D216F4" w:rsidRDefault="00D216F4">
      <w:pPr>
        <w:pStyle w:val="EndnoteText"/>
      </w:pPr>
      <w:r>
        <w:rPr>
          <w:rStyle w:val="EndnoteReference"/>
        </w:rPr>
        <w:endnoteRef/>
      </w:r>
      <w:r>
        <w:t xml:space="preserve"> Leviticus 25:39, 43</w:t>
      </w:r>
    </w:p>
  </w:endnote>
  <w:endnote w:id="48">
    <w:p w:rsidR="00D216F4" w:rsidRDefault="00D216F4">
      <w:pPr>
        <w:pStyle w:val="EndnoteText"/>
      </w:pPr>
      <w:r>
        <w:rPr>
          <w:rStyle w:val="EndnoteReference"/>
        </w:rPr>
        <w:endnoteRef/>
      </w:r>
      <w:r>
        <w:t xml:space="preserve"> Leviticus 25:25</w:t>
      </w:r>
    </w:p>
  </w:endnote>
  <w:endnote w:id="49">
    <w:p w:rsidR="00D216F4" w:rsidRDefault="00D216F4">
      <w:pPr>
        <w:pStyle w:val="EndnoteText"/>
      </w:pPr>
      <w:r>
        <w:rPr>
          <w:rStyle w:val="EndnoteReference"/>
        </w:rPr>
        <w:endnoteRef/>
      </w:r>
      <w:r>
        <w:t xml:space="preserve"> Leviticus 25:26, 27</w:t>
      </w:r>
    </w:p>
  </w:endnote>
  <w:endnote w:id="50">
    <w:p w:rsidR="00D216F4" w:rsidRDefault="00D216F4">
      <w:pPr>
        <w:pStyle w:val="EndnoteText"/>
      </w:pPr>
      <w:r>
        <w:rPr>
          <w:rStyle w:val="EndnoteReference"/>
        </w:rPr>
        <w:endnoteRef/>
      </w:r>
      <w:r>
        <w:t xml:space="preserve"> Leviticus 25:10</w:t>
      </w:r>
    </w:p>
  </w:endnote>
  <w:endnote w:id="51">
    <w:p w:rsidR="00D216F4" w:rsidRDefault="00D216F4">
      <w:pPr>
        <w:pStyle w:val="EndnoteText"/>
      </w:pPr>
      <w:r>
        <w:rPr>
          <w:rStyle w:val="EndnoteReference"/>
        </w:rPr>
        <w:endnoteRef/>
      </w:r>
      <w:r>
        <w:t xml:space="preserve"> Leviticus 25:15, 16</w:t>
      </w:r>
    </w:p>
  </w:endnote>
  <w:endnote w:id="52">
    <w:p w:rsidR="00D216F4" w:rsidRDefault="00D216F4">
      <w:pPr>
        <w:pStyle w:val="EndnoteText"/>
      </w:pPr>
      <w:r>
        <w:rPr>
          <w:rStyle w:val="EndnoteReference"/>
        </w:rPr>
        <w:endnoteRef/>
      </w:r>
      <w:r>
        <w:t xml:space="preserve"> Deuteronomy 15:18</w:t>
      </w:r>
    </w:p>
  </w:endnote>
  <w:endnote w:id="53">
    <w:p w:rsidR="00D216F4" w:rsidRDefault="00D216F4">
      <w:pPr>
        <w:pStyle w:val="EndnoteText"/>
      </w:pPr>
      <w:r>
        <w:rPr>
          <w:rStyle w:val="EndnoteReference"/>
        </w:rPr>
        <w:endnoteRef/>
      </w:r>
      <w:r>
        <w:t xml:space="preserve"> Leviticus 25:40, 43; Colossians 4:1</w:t>
      </w:r>
    </w:p>
  </w:endnote>
  <w:endnote w:id="54">
    <w:p w:rsidR="00D216F4" w:rsidRDefault="00D216F4">
      <w:pPr>
        <w:pStyle w:val="EndnoteText"/>
      </w:pPr>
      <w:r>
        <w:rPr>
          <w:rStyle w:val="EndnoteReference"/>
        </w:rPr>
        <w:endnoteRef/>
      </w:r>
      <w:r>
        <w:t xml:space="preserve"> Exodus 21:3</w:t>
      </w:r>
    </w:p>
  </w:endnote>
  <w:endnote w:id="55">
    <w:p w:rsidR="00D216F4" w:rsidRDefault="00D216F4">
      <w:pPr>
        <w:pStyle w:val="EndnoteText"/>
      </w:pPr>
      <w:r>
        <w:rPr>
          <w:rStyle w:val="EndnoteReference"/>
        </w:rPr>
        <w:endnoteRef/>
      </w:r>
      <w:r>
        <w:t xml:space="preserve"> Exodus 20:2; Leviticus 25:42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070E" w:rsidRDefault="0038070E">
      <w:r>
        <w:separator/>
      </w:r>
    </w:p>
  </w:footnote>
  <w:footnote w:type="continuationSeparator" w:id="0">
    <w:p w:rsidR="0038070E" w:rsidRDefault="0038070E">
      <w:r>
        <w:continuationSeparator/>
      </w:r>
    </w:p>
  </w:footnote>
  <w:footnote w:id="1">
    <w:p w:rsidR="00D216F4" w:rsidRDefault="00D216F4">
      <w:pPr>
        <w:pStyle w:val="FootnoteText"/>
      </w:pPr>
      <w:r>
        <w:rPr>
          <w:rStyle w:val="FootnoteReference"/>
        </w:rPr>
        <w:footnoteRef/>
      </w:r>
      <w:r>
        <w:t xml:space="preserve"> </w:t>
      </w:r>
      <w:r>
        <w:t>Or “take usury.”</w:t>
      </w:r>
    </w:p>
  </w:footnote>
  <w:footnote w:id="2">
    <w:p w:rsidR="00D216F4" w:rsidRDefault="00D216F4">
      <w:pPr>
        <w:pStyle w:val="FootnoteText"/>
      </w:pPr>
      <w:r>
        <w:rPr>
          <w:rStyle w:val="FootnoteReference"/>
        </w:rPr>
        <w:footnoteRef/>
      </w:r>
      <w:r>
        <w:t xml:space="preserve"> </w:t>
      </w:r>
      <w:r>
        <w:t>Lit., “sons.”</w:t>
      </w:r>
    </w:p>
  </w:footnote>
  <w:footnote w:id="3">
    <w:p w:rsidR="00D216F4" w:rsidRDefault="00D216F4">
      <w:pPr>
        <w:pStyle w:val="FootnoteText"/>
      </w:pPr>
      <w:r>
        <w:rPr>
          <w:rStyle w:val="FootnoteReference"/>
        </w:rPr>
        <w:footnoteRef/>
      </w:r>
      <w:r>
        <w:t xml:space="preserve"> </w:t>
      </w:r>
      <w:r>
        <w:t>Or “any blood relative.”</w:t>
      </w:r>
    </w:p>
  </w:footnote>
  <w:footnote w:id="4">
    <w:p w:rsidR="00D216F4" w:rsidRDefault="00D216F4">
      <w:pPr>
        <w:pStyle w:val="FootnoteText"/>
      </w:pPr>
      <w:r>
        <w:rPr>
          <w:rStyle w:val="FootnoteReference"/>
        </w:rPr>
        <w:footnoteRef/>
      </w:r>
      <w:r>
        <w:t xml:space="preserve"> </w:t>
      </w:r>
      <w:r>
        <w:t>Lit., “sons.”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D216F4">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D216F4">
        <w:t>Leviticus Chapter 25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D216F4">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216F4">
      <w:rPr>
        <w:noProof/>
        <w:snapToGrid w:val="0"/>
      </w:rPr>
      <w:t>Leviticus 25.Advisor.docx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D216F4">
        <w:t>Leviticus Chapter 25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D216F4">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216F4">
      <w:rPr>
        <w:noProof/>
        <w:snapToGrid w:val="0"/>
      </w:rPr>
      <w:t>Leviticus 25.Advisor.docx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D216F4">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D216F4">
      <w:t>&lt;not set&gt;</w:t>
    </w:r>
    <w:r>
      <w:fldChar w:fldCharType="end"/>
    </w:r>
    <w:r>
      <w:tab/>
      <w:t xml:space="preserve">Checker: </w:t>
    </w:r>
    <w:r>
      <w:fldChar w:fldCharType="begin"/>
    </w:r>
    <w:r>
      <w:instrText xml:space="preserve"> DOCPROPERTY "_RoleChecker" </w:instrText>
    </w:r>
    <w:r>
      <w:fldChar w:fldCharType="separate"/>
    </w:r>
    <w:r w:rsidR="00D216F4">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D216F4">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70E"/>
    <w:rsid w:val="00245EDD"/>
    <w:rsid w:val="0026230D"/>
    <w:rsid w:val="002B524D"/>
    <w:rsid w:val="002C00A8"/>
    <w:rsid w:val="00310508"/>
    <w:rsid w:val="0038070E"/>
    <w:rsid w:val="003B380B"/>
    <w:rsid w:val="004500A2"/>
    <w:rsid w:val="004B7393"/>
    <w:rsid w:val="004C5EB7"/>
    <w:rsid w:val="005D4494"/>
    <w:rsid w:val="005F29B7"/>
    <w:rsid w:val="006465A2"/>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216F4"/>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2df1770e368c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216F4"/>
    <w:pPr>
      <w:spacing w:line="240" w:lineRule="auto"/>
    </w:pPr>
    <w:rPr>
      <w:sz w:val="20"/>
      <w:szCs w:val="20"/>
    </w:rPr>
  </w:style>
  <w:style w:type="character" w:customStyle="1" w:styleId="FootnoteTextChar">
    <w:name w:val="Footnote Text Char"/>
    <w:basedOn w:val="DefaultParagraphFont"/>
    <w:link w:val="FootnoteText"/>
    <w:rsid w:val="00D216F4"/>
    <w:rPr>
      <w:rFonts w:ascii="Arial" w:eastAsia="Times New Roman" w:hAnsi="Arial" w:cs="Latha"/>
      <w:lang w:val="en-US" w:eastAsia="en-US" w:bidi="ta-IN"/>
    </w:rPr>
  </w:style>
  <w:style w:type="character" w:styleId="FootnoteReference">
    <w:name w:val="footnote reference"/>
    <w:basedOn w:val="DefaultParagraphFont"/>
    <w:rsid w:val="00D216F4"/>
    <w:rPr>
      <w:vertAlign w:val="superscript"/>
    </w:rPr>
  </w:style>
  <w:style w:type="paragraph" w:styleId="EndnoteText">
    <w:name w:val="endnote text"/>
    <w:basedOn w:val="Normal"/>
    <w:link w:val="EndnoteTextChar"/>
    <w:rsid w:val="00D216F4"/>
    <w:pPr>
      <w:spacing w:line="240" w:lineRule="auto"/>
    </w:pPr>
    <w:rPr>
      <w:sz w:val="20"/>
      <w:szCs w:val="20"/>
    </w:rPr>
  </w:style>
  <w:style w:type="character" w:customStyle="1" w:styleId="EndnoteTextChar">
    <w:name w:val="Endnote Text Char"/>
    <w:basedOn w:val="DefaultParagraphFont"/>
    <w:link w:val="EndnoteText"/>
    <w:rsid w:val="00D216F4"/>
    <w:rPr>
      <w:rFonts w:ascii="Arial" w:eastAsia="Times New Roman" w:hAnsi="Arial" w:cs="Latha"/>
      <w:lang w:val="en-US" w:eastAsia="en-US" w:bidi="ta-IN"/>
    </w:rPr>
  </w:style>
  <w:style w:type="character" w:styleId="EndnoteReference">
    <w:name w:val="endnote reference"/>
    <w:basedOn w:val="DefaultParagraphFont"/>
    <w:rsid w:val="00D216F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216F4"/>
    <w:pPr>
      <w:spacing w:line="240" w:lineRule="auto"/>
    </w:pPr>
    <w:rPr>
      <w:sz w:val="20"/>
      <w:szCs w:val="20"/>
    </w:rPr>
  </w:style>
  <w:style w:type="character" w:customStyle="1" w:styleId="FootnoteTextChar">
    <w:name w:val="Footnote Text Char"/>
    <w:basedOn w:val="DefaultParagraphFont"/>
    <w:link w:val="FootnoteText"/>
    <w:rsid w:val="00D216F4"/>
    <w:rPr>
      <w:rFonts w:ascii="Arial" w:eastAsia="Times New Roman" w:hAnsi="Arial" w:cs="Latha"/>
      <w:lang w:val="en-US" w:eastAsia="en-US" w:bidi="ta-IN"/>
    </w:rPr>
  </w:style>
  <w:style w:type="character" w:styleId="FootnoteReference">
    <w:name w:val="footnote reference"/>
    <w:basedOn w:val="DefaultParagraphFont"/>
    <w:rsid w:val="00D216F4"/>
    <w:rPr>
      <w:vertAlign w:val="superscript"/>
    </w:rPr>
  </w:style>
  <w:style w:type="paragraph" w:styleId="EndnoteText">
    <w:name w:val="endnote text"/>
    <w:basedOn w:val="Normal"/>
    <w:link w:val="EndnoteTextChar"/>
    <w:rsid w:val="00D216F4"/>
    <w:pPr>
      <w:spacing w:line="240" w:lineRule="auto"/>
    </w:pPr>
    <w:rPr>
      <w:sz w:val="20"/>
      <w:szCs w:val="20"/>
    </w:rPr>
  </w:style>
  <w:style w:type="character" w:customStyle="1" w:styleId="EndnoteTextChar">
    <w:name w:val="Endnote Text Char"/>
    <w:basedOn w:val="DefaultParagraphFont"/>
    <w:link w:val="EndnoteText"/>
    <w:rsid w:val="00D216F4"/>
    <w:rPr>
      <w:rFonts w:ascii="Arial" w:eastAsia="Times New Roman" w:hAnsi="Arial" w:cs="Latha"/>
      <w:lang w:val="en-US" w:eastAsia="en-US" w:bidi="ta-IN"/>
    </w:rPr>
  </w:style>
  <w:style w:type="character" w:styleId="EndnoteReference">
    <w:name w:val="endnote reference"/>
    <w:basedOn w:val="DefaultParagraphFont"/>
    <w:rsid w:val="00D216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2df1770e368c4b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1579</ap:Words>
  <ap:Characters>6604</ap:Characters>
  <ap:Application>Microsoft Office Word</ap:Application>
  <ap:DocSecurity>0</ap:DocSecurity>
  <ap:Lines>106</ap:Lines>
  <ap:Paragraphs>17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8166</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25</dc:title>
  <dc:subject/>
  <dc:creator>David Waterson</dc:creator>
  <cp:keywords/>
  <dc:description/>
  <cp:lastModifiedBy>David Waterson</cp:lastModifiedBy>
  <cp:revision>3</cp:revision>
  <dcterms:created xsi:type="dcterms:W3CDTF">2019-08-04T14:06:00Z</dcterms:created>
  <dcterms:modified xsi:type="dcterms:W3CDTF">2019-08-04T14:06:00Z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25.docx</vt:lpwstr>
  </property>
  <property fmtid="{D5CDD505-2E9C-101B-9397-08002B2CF9AE}" pid="9" name="_TranslationDocumentId">
    <vt:i4>19445</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3025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25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