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DEF" w:rsidRDefault="00430DEF" w:rsidP="00430DEF">
      <w:pPr>
        <w:rPr>
          <w:rFonts w:ascii="MEPS Bookman WTS" w:eastAsia="Segoe UI" w:hAnsi="MEPS Bookman WTS" w:cs="Segoe UI"/>
        </w:rPr>
      </w:pPr>
      <w:bookmarkStart w:id="0" w:name="_GoBack"/>
      <w:bookmarkEnd w:id="0"/>
      <w:r>
        <w:rPr>
          <w:rFonts w:eastAsia="Segoe UI" w:cs="Arial"/>
          <w:b/>
        </w:rPr>
        <w:t xml:space="preserve">9:1 </w:t>
      </w:r>
      <w:r>
        <w:rPr>
          <w:rFonts w:eastAsia="Segoe UI" w:cs="Arial"/>
        </w:rPr>
        <w:t>Jehovah spoke to Moses in the wilderness of Si′nai in the first month</w:t>
      </w:r>
      <w:r w:rsidR="00A3678B">
        <w:rPr>
          <w:rStyle w:val="EndnoteReference"/>
          <w:rFonts w:eastAsia="Segoe UI" w:cs="Arial"/>
        </w:rPr>
        <w:endnoteReference w:id="1"/>
      </w:r>
      <w:r>
        <w:rPr>
          <w:rFonts w:eastAsia="Segoe UI" w:cs="Arial"/>
        </w:rPr>
        <w:t xml:space="preserve"> of the second year after they had come out of the land of Egypt, saying: </w:t>
      </w:r>
      <w:r>
        <w:rPr>
          <w:rFonts w:eastAsia="Segoe UI" w:cs="Arial"/>
          <w:b/>
        </w:rPr>
        <w:t xml:space="preserve">2 </w:t>
      </w:r>
      <w:r>
        <w:rPr>
          <w:rFonts w:eastAsia="Segoe UI" w:cs="Arial"/>
        </w:rPr>
        <w:t>“The Israelites should prepare the Passover sacrifice</w:t>
      </w:r>
      <w:r w:rsidR="00A3678B">
        <w:rPr>
          <w:rStyle w:val="EndnoteReference"/>
          <w:rFonts w:eastAsia="Segoe UI" w:cs="Arial"/>
        </w:rPr>
        <w:endnoteReference w:id="2"/>
      </w:r>
      <w:r>
        <w:rPr>
          <w:rFonts w:eastAsia="Segoe UI" w:cs="Arial"/>
        </w:rPr>
        <w:t xml:space="preserve"> at its appointed time.</w:t>
      </w:r>
      <w:r w:rsidR="00A3678B">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On the 14th day of this month at twilight,</w:t>
      </w:r>
      <w:r w:rsidR="00A3678B">
        <w:rPr>
          <w:rStyle w:val="FootnoteReference"/>
          <w:rFonts w:eastAsia="Segoe UI" w:cs="Arial"/>
        </w:rPr>
        <w:footnoteReference w:id="1"/>
      </w:r>
      <w:r>
        <w:rPr>
          <w:rFonts w:eastAsia="Segoe UI" w:cs="Arial"/>
        </w:rPr>
        <w:t xml:space="preserve"> you should prepare it at its appointed time. According to all its statutes and all its set procedures, you should prepare it.”</w:t>
      </w:r>
      <w:r w:rsidR="00A3678B">
        <w:rPr>
          <w:rStyle w:val="EndnoteReference"/>
          <w:rFonts w:eastAsia="Segoe UI" w:cs="Arial"/>
        </w:rPr>
        <w:endnoteReference w:id="4"/>
      </w:r>
    </w:p>
    <w:p w:rsidR="00430DEF" w:rsidRDefault="00430DEF" w:rsidP="00430DEF">
      <w:pPr>
        <w:rPr>
          <w:rFonts w:eastAsia="Segoe UI" w:cs="Arial"/>
        </w:rPr>
      </w:pPr>
      <w:r>
        <w:rPr>
          <w:rFonts w:eastAsia="Segoe UI" w:cs="Arial"/>
          <w:b/>
        </w:rPr>
        <w:t xml:space="preserve">4 </w:t>
      </w:r>
      <w:r>
        <w:rPr>
          <w:rFonts w:eastAsia="Segoe UI" w:cs="Arial"/>
        </w:rPr>
        <w:t xml:space="preserve">So Moses told the Israelites to prepare the Passover sacrifice. </w:t>
      </w:r>
      <w:r>
        <w:rPr>
          <w:rFonts w:eastAsia="Segoe UI" w:cs="Arial"/>
          <w:b/>
        </w:rPr>
        <w:t xml:space="preserve">5 </w:t>
      </w:r>
      <w:r>
        <w:rPr>
          <w:rFonts w:eastAsia="Segoe UI" w:cs="Arial"/>
        </w:rPr>
        <w:t>Then they prepared the Passover sacrifice in the first month, on the 14th day of the month at twilight,</w:t>
      </w:r>
      <w:r w:rsidR="00A3678B">
        <w:rPr>
          <w:rStyle w:val="FootnoteReference"/>
          <w:rFonts w:eastAsia="Segoe UI" w:cs="Arial"/>
        </w:rPr>
        <w:footnoteReference w:id="2"/>
      </w:r>
      <w:r>
        <w:rPr>
          <w:rFonts w:eastAsia="Segoe UI" w:cs="Arial"/>
        </w:rPr>
        <w:t xml:space="preserve"> in the wilderness of Si′nai. According to all that Jehovah had commanded Moses, so the Israelites did.</w:t>
      </w:r>
    </w:p>
    <w:p w:rsidR="00430DEF" w:rsidRDefault="00430DEF" w:rsidP="00430DEF">
      <w:pPr>
        <w:rPr>
          <w:rFonts w:ascii="MEPS Bookman WTS" w:eastAsia="Segoe UI" w:hAnsi="MEPS Bookman WTS" w:cs="Segoe UI"/>
        </w:rPr>
      </w:pPr>
      <w:r>
        <w:rPr>
          <w:rFonts w:eastAsia="Segoe UI" w:cs="Arial"/>
          <w:b/>
        </w:rPr>
        <w:t xml:space="preserve">6 </w:t>
      </w:r>
      <w:r>
        <w:rPr>
          <w:rFonts w:eastAsia="Segoe UI" w:cs="Arial"/>
        </w:rPr>
        <w:t>Now there were men who had become unclean by touching a dead body,</w:t>
      </w:r>
      <w:r w:rsidR="00A3678B">
        <w:rPr>
          <w:rStyle w:val="FootnoteReference"/>
          <w:rFonts w:eastAsia="Segoe UI" w:cs="Arial"/>
        </w:rPr>
        <w:footnoteReference w:id="3"/>
      </w:r>
      <w:r w:rsidR="00A3678B">
        <w:rPr>
          <w:rStyle w:val="EndnoteReference"/>
          <w:rFonts w:eastAsia="Segoe UI" w:cs="Arial"/>
        </w:rPr>
        <w:endnoteReference w:id="5"/>
      </w:r>
      <w:r>
        <w:rPr>
          <w:rFonts w:eastAsia="Segoe UI" w:cs="Arial"/>
        </w:rPr>
        <w:t xml:space="preserve"> so that they were not able to prepare the Passover sacrifice on that day. So those men presented themselves before Moses and Aaron on that day</w:t>
      </w:r>
      <w:r w:rsidR="00A3678B">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7 </w:t>
      </w:r>
      <w:r>
        <w:rPr>
          <w:rFonts w:eastAsia="Segoe UI" w:cs="Arial"/>
        </w:rPr>
        <w:t>and said to him: “We are unclean because of touching a dead body.</w:t>
      </w:r>
      <w:r w:rsidR="00A3678B">
        <w:rPr>
          <w:rStyle w:val="FootnoteReference"/>
          <w:rFonts w:eastAsia="Segoe UI" w:cs="Arial"/>
        </w:rPr>
        <w:footnoteReference w:id="4"/>
      </w:r>
      <w:r>
        <w:rPr>
          <w:rFonts w:eastAsia="Segoe UI" w:cs="Arial"/>
        </w:rPr>
        <w:t xml:space="preserve"> Why should we be kept from presenting the offering to Jehovah at its appointed time among the Israelites?”</w:t>
      </w:r>
      <w:r w:rsidR="00A3678B">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8 </w:t>
      </w:r>
      <w:r>
        <w:rPr>
          <w:rFonts w:eastAsia="Segoe UI" w:cs="Arial"/>
        </w:rPr>
        <w:t>At this Moses said to them: “Wait there, and let me hear what Jehovah may command regarding you.”</w:t>
      </w:r>
      <w:r w:rsidR="00A3678B">
        <w:rPr>
          <w:rStyle w:val="EndnoteReference"/>
          <w:rFonts w:eastAsia="Segoe UI" w:cs="Arial"/>
        </w:rPr>
        <w:endnoteReference w:id="8"/>
      </w:r>
    </w:p>
    <w:p w:rsidR="00430DEF" w:rsidRDefault="00430DEF" w:rsidP="00430DEF">
      <w:pPr>
        <w:rPr>
          <w:rFonts w:eastAsia="Segoe UI" w:cs="Arial"/>
        </w:rPr>
      </w:pPr>
      <w:r>
        <w:rPr>
          <w:rFonts w:eastAsia="Segoe UI" w:cs="Arial"/>
          <w:b/>
        </w:rPr>
        <w:t xml:space="preserve">9 </w:t>
      </w:r>
      <w:r>
        <w:rPr>
          <w:rFonts w:eastAsia="Segoe UI" w:cs="Arial"/>
        </w:rPr>
        <w:t xml:space="preserve">Then Jehovah said to Moses: </w:t>
      </w:r>
      <w:r>
        <w:rPr>
          <w:rFonts w:eastAsia="Segoe UI" w:cs="Arial"/>
          <w:b/>
        </w:rPr>
        <w:t xml:space="preserve">10 </w:t>
      </w:r>
      <w:r>
        <w:rPr>
          <w:rFonts w:eastAsia="Segoe UI" w:cs="Arial"/>
        </w:rPr>
        <w:t>“Tell the Israelites, ‘Although any man among you or of your future generations should become unclean by touching a dead body</w:t>
      </w:r>
      <w:r w:rsidR="00A3678B">
        <w:rPr>
          <w:rStyle w:val="FootnoteReference"/>
          <w:rFonts w:eastAsia="Segoe UI" w:cs="Arial"/>
        </w:rPr>
        <w:footnoteReference w:id="5"/>
      </w:r>
      <w:r w:rsidR="00A3678B">
        <w:rPr>
          <w:rStyle w:val="EndnoteReference"/>
          <w:rFonts w:eastAsia="Segoe UI" w:cs="Arial"/>
        </w:rPr>
        <w:endnoteReference w:id="9"/>
      </w:r>
      <w:r>
        <w:rPr>
          <w:rFonts w:eastAsia="Segoe UI" w:cs="Arial"/>
        </w:rPr>
        <w:t xml:space="preserve"> or should be off on a distant journey, he must still prepare the Passover sacrifice to Jehovah. </w:t>
      </w:r>
      <w:r>
        <w:rPr>
          <w:rFonts w:eastAsia="Segoe UI" w:cs="Arial"/>
          <w:b/>
        </w:rPr>
        <w:t xml:space="preserve">11 </w:t>
      </w:r>
      <w:r>
        <w:rPr>
          <w:rFonts w:eastAsia="Segoe UI" w:cs="Arial"/>
        </w:rPr>
        <w:t>They should prepare it in the second month,</w:t>
      </w:r>
      <w:r w:rsidR="00A3678B">
        <w:rPr>
          <w:rStyle w:val="EndnoteReference"/>
          <w:rFonts w:eastAsia="Segoe UI" w:cs="Arial"/>
        </w:rPr>
        <w:endnoteReference w:id="10"/>
      </w:r>
      <w:r>
        <w:rPr>
          <w:rFonts w:eastAsia="Segoe UI" w:cs="Arial"/>
        </w:rPr>
        <w:t xml:space="preserve"> on the 14th day at twilight.</w:t>
      </w:r>
      <w:r w:rsidR="00A3678B">
        <w:rPr>
          <w:rStyle w:val="FootnoteReference"/>
          <w:rFonts w:eastAsia="Segoe UI" w:cs="Arial"/>
        </w:rPr>
        <w:footnoteReference w:id="6"/>
      </w:r>
      <w:r>
        <w:rPr>
          <w:rFonts w:eastAsia="Segoe UI" w:cs="Arial"/>
        </w:rPr>
        <w:t xml:space="preserve"> They should eat it together with unleavened bread and bitter greens.</w:t>
      </w:r>
      <w:r w:rsidR="00A3678B">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12 </w:t>
      </w:r>
      <w:r>
        <w:rPr>
          <w:rFonts w:eastAsia="Segoe UI" w:cs="Arial"/>
        </w:rPr>
        <w:t>They must not let any of it remain until morning,</w:t>
      </w:r>
      <w:r w:rsidR="00A3678B">
        <w:rPr>
          <w:rStyle w:val="EndnoteReference"/>
          <w:rFonts w:eastAsia="Segoe UI" w:cs="Arial"/>
        </w:rPr>
        <w:endnoteReference w:id="12"/>
      </w:r>
      <w:r>
        <w:rPr>
          <w:rFonts w:eastAsia="Segoe UI" w:cs="Arial"/>
        </w:rPr>
        <w:t xml:space="preserve"> and they should not break any bone in it.</w:t>
      </w:r>
      <w:r w:rsidR="00A3678B">
        <w:rPr>
          <w:rStyle w:val="EndnoteReference"/>
          <w:rFonts w:eastAsia="Segoe UI" w:cs="Arial"/>
        </w:rPr>
        <w:endnoteReference w:id="13"/>
      </w:r>
      <w:r>
        <w:rPr>
          <w:rFonts w:eastAsia="Segoe UI" w:cs="Arial"/>
        </w:rPr>
        <w:t xml:space="preserve"> They should prepare it according to every statute regarding the Passover. </w:t>
      </w:r>
      <w:r>
        <w:rPr>
          <w:rFonts w:eastAsia="Segoe UI" w:cs="Arial"/>
          <w:b/>
        </w:rPr>
        <w:t xml:space="preserve">13 </w:t>
      </w:r>
      <w:r>
        <w:rPr>
          <w:rFonts w:eastAsia="Segoe UI" w:cs="Arial"/>
        </w:rPr>
        <w:t>But if a man was clean or was not off on a journey and neglected to prepare the Passover sacrifice, that person</w:t>
      </w:r>
      <w:r w:rsidR="00A3678B">
        <w:rPr>
          <w:rStyle w:val="FootnoteReference"/>
          <w:rFonts w:eastAsia="Segoe UI" w:cs="Arial"/>
        </w:rPr>
        <w:footnoteReference w:id="7"/>
      </w:r>
      <w:r>
        <w:rPr>
          <w:rFonts w:eastAsia="Segoe UI" w:cs="Arial"/>
        </w:rPr>
        <w:t xml:space="preserve"> must then be cut off</w:t>
      </w:r>
      <w:r w:rsidR="00A3678B">
        <w:rPr>
          <w:rStyle w:val="FootnoteReference"/>
          <w:rFonts w:eastAsia="Segoe UI" w:cs="Arial"/>
        </w:rPr>
        <w:footnoteReference w:id="8"/>
      </w:r>
      <w:r>
        <w:rPr>
          <w:rFonts w:eastAsia="Segoe UI" w:cs="Arial"/>
        </w:rPr>
        <w:t xml:space="preserve"> from his people,</w:t>
      </w:r>
      <w:r w:rsidR="00A3678B">
        <w:rPr>
          <w:rStyle w:val="EndnoteReference"/>
          <w:rFonts w:eastAsia="Segoe UI" w:cs="Arial"/>
        </w:rPr>
        <w:endnoteReference w:id="14"/>
      </w:r>
      <w:r>
        <w:rPr>
          <w:rFonts w:eastAsia="Segoe UI" w:cs="Arial"/>
        </w:rPr>
        <w:t xml:space="preserve"> because he did not present the offering of Jehovah at its appointed time. That man will answer for his sin.</w:t>
      </w:r>
    </w:p>
    <w:p w:rsidR="00430DEF" w:rsidRDefault="00430DEF" w:rsidP="00430DEF">
      <w:pPr>
        <w:rPr>
          <w:rFonts w:ascii="MEPS Bookman WTS" w:eastAsia="Segoe UI" w:hAnsi="MEPS Bookman WTS" w:cs="Segoe UI"/>
        </w:rPr>
      </w:pPr>
      <w:r>
        <w:rPr>
          <w:rFonts w:eastAsia="Segoe UI" w:cs="Arial"/>
          <w:b/>
        </w:rPr>
        <w:t xml:space="preserve">14 </w:t>
      </w:r>
      <w:r>
        <w:rPr>
          <w:rFonts w:eastAsia="Segoe UI" w:cs="Arial"/>
        </w:rPr>
        <w:t>“‘And if a foreign resident is residing with you, he should also prepare the Passover sacrifice to Jehovah.</w:t>
      </w:r>
      <w:r w:rsidR="00A3678B">
        <w:rPr>
          <w:rStyle w:val="EndnoteReference"/>
          <w:rFonts w:eastAsia="Segoe UI" w:cs="Arial"/>
        </w:rPr>
        <w:endnoteReference w:id="15"/>
      </w:r>
      <w:r>
        <w:rPr>
          <w:rFonts w:eastAsia="Segoe UI" w:cs="Arial"/>
        </w:rPr>
        <w:t xml:space="preserve"> He should do so according to the statute of the Passover and its set procedure.</w:t>
      </w:r>
      <w:r w:rsidR="00A3678B">
        <w:rPr>
          <w:rStyle w:val="EndnoteReference"/>
          <w:rFonts w:eastAsia="Segoe UI" w:cs="Arial"/>
        </w:rPr>
        <w:endnoteReference w:id="16"/>
      </w:r>
      <w:r>
        <w:rPr>
          <w:rFonts w:eastAsia="Segoe UI" w:cs="Arial"/>
        </w:rPr>
        <w:t xml:space="preserve"> There should exist one statute for you, both for the foreign resident and for the native of the land.’”</w:t>
      </w:r>
      <w:r w:rsidR="00A3678B">
        <w:rPr>
          <w:rStyle w:val="EndnoteReference"/>
          <w:rFonts w:eastAsia="Segoe UI" w:cs="Arial"/>
        </w:rPr>
        <w:endnoteReference w:id="17"/>
      </w:r>
    </w:p>
    <w:p w:rsidR="00430DEF" w:rsidRDefault="00430DEF" w:rsidP="00430DEF">
      <w:pPr>
        <w:rPr>
          <w:rFonts w:eastAsia="Segoe UI" w:cs="Arial"/>
        </w:rPr>
      </w:pPr>
      <w:r>
        <w:rPr>
          <w:rFonts w:eastAsia="Segoe UI" w:cs="Arial"/>
          <w:b/>
        </w:rPr>
        <w:t xml:space="preserve">15 </w:t>
      </w:r>
      <w:r>
        <w:rPr>
          <w:rFonts w:eastAsia="Segoe UI" w:cs="Arial"/>
        </w:rPr>
        <w:t>Now on the day the tabernacle was set up,</w:t>
      </w:r>
      <w:r w:rsidR="00A3678B">
        <w:rPr>
          <w:rStyle w:val="EndnoteReference"/>
          <w:rFonts w:eastAsia="Segoe UI" w:cs="Arial"/>
        </w:rPr>
        <w:endnoteReference w:id="18"/>
      </w:r>
      <w:r>
        <w:rPr>
          <w:rFonts w:eastAsia="Segoe UI" w:cs="Arial"/>
        </w:rPr>
        <w:t xml:space="preserve"> the cloud covered the tabernacle, the tent of the Testimony, but in the evening what appeared to be fire remained over the tabernacle until morning.</w:t>
      </w:r>
      <w:r w:rsidR="00A3678B">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16 </w:t>
      </w:r>
      <w:r>
        <w:rPr>
          <w:rFonts w:eastAsia="Segoe UI" w:cs="Arial"/>
        </w:rPr>
        <w:t>That is what continued to take place: The cloud would cover it by day, and the appearance of fire by night.</w:t>
      </w:r>
      <w:r w:rsidR="00A3678B">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17 </w:t>
      </w:r>
      <w:r>
        <w:rPr>
          <w:rFonts w:eastAsia="Segoe UI" w:cs="Arial"/>
        </w:rPr>
        <w:t>Whenever the cloud lifted from the tent, the Israelites would promptly depart,</w:t>
      </w:r>
      <w:r w:rsidR="00A3678B">
        <w:rPr>
          <w:rStyle w:val="EndnoteReference"/>
          <w:rFonts w:eastAsia="Segoe UI" w:cs="Arial"/>
        </w:rPr>
        <w:endnoteReference w:id="21"/>
      </w:r>
      <w:r>
        <w:rPr>
          <w:rFonts w:eastAsia="Segoe UI" w:cs="Arial"/>
        </w:rPr>
        <w:t xml:space="preserve"> and in the place where the cloud would remain, there is where the Israelites would encamp.</w:t>
      </w:r>
      <w:r w:rsidR="00A3678B">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18 </w:t>
      </w:r>
      <w:r>
        <w:rPr>
          <w:rFonts w:eastAsia="Segoe UI" w:cs="Arial"/>
        </w:rPr>
        <w:t>At the order of Jehovah the Israelites would depart, and at the order of Jehovah they would encamp.</w:t>
      </w:r>
      <w:r w:rsidR="00A3678B">
        <w:rPr>
          <w:rStyle w:val="EndnoteReference"/>
          <w:rFonts w:eastAsia="Segoe UI" w:cs="Arial"/>
        </w:rPr>
        <w:endnoteReference w:id="23"/>
      </w:r>
      <w:r>
        <w:rPr>
          <w:rFonts w:eastAsia="Segoe UI" w:cs="Arial"/>
        </w:rPr>
        <w:t xml:space="preserve"> As long as the cloud remained over the tabernacle, they would remain encamped. </w:t>
      </w:r>
      <w:r>
        <w:rPr>
          <w:rFonts w:eastAsia="Segoe UI" w:cs="Arial"/>
          <w:b/>
        </w:rPr>
        <w:t xml:space="preserve">19 </w:t>
      </w:r>
      <w:r>
        <w:rPr>
          <w:rFonts w:eastAsia="Segoe UI" w:cs="Arial"/>
        </w:rPr>
        <w:t>When the cloud would stay over the tabernacle for many days, the Israelites would obey Jehovah and not depart.</w:t>
      </w:r>
      <w:r w:rsidR="00A3678B">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20 </w:t>
      </w:r>
      <w:r>
        <w:rPr>
          <w:rFonts w:eastAsia="Segoe UI" w:cs="Arial"/>
        </w:rPr>
        <w:t xml:space="preserve">Sometimes the cloud would remain for a few days over the tabernacle. At the order of Jehovah they would remain encamped, and at the order of Jehovah they would depart. </w:t>
      </w:r>
      <w:r>
        <w:rPr>
          <w:rFonts w:eastAsia="Segoe UI" w:cs="Arial"/>
          <w:b/>
        </w:rPr>
        <w:t xml:space="preserve">21 </w:t>
      </w:r>
      <w:r>
        <w:rPr>
          <w:rFonts w:eastAsia="Segoe UI" w:cs="Arial"/>
        </w:rPr>
        <w:t>Sometimes the cloud would remain only from evening until morning, and when the cloud lifted in the morning, they would depart. Whether it was day or night when the cloud lifted, they would depart.</w:t>
      </w:r>
      <w:r w:rsidR="00A3678B">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22 </w:t>
      </w:r>
      <w:r>
        <w:rPr>
          <w:rFonts w:eastAsia="Segoe UI" w:cs="Arial"/>
        </w:rPr>
        <w:t xml:space="preserve">Whether it was two days, a month, or longer, as long as the cloud stayed over the tabernacle, the Israelites remained encamped and would not depart. But when it lifted, they would depart. </w:t>
      </w:r>
      <w:r>
        <w:rPr>
          <w:rFonts w:eastAsia="Segoe UI" w:cs="Arial"/>
          <w:b/>
        </w:rPr>
        <w:t xml:space="preserve">23 </w:t>
      </w:r>
      <w:r>
        <w:rPr>
          <w:rFonts w:eastAsia="Segoe UI" w:cs="Arial"/>
        </w:rPr>
        <w:t>At the order of Jehovah they would encamp, and at the order of Jehovah they would depart. They kept their obligation to Jehovah at the order of Jehovah through Moses.</w:t>
      </w:r>
    </w:p>
    <w:p w:rsidR="00762BCB" w:rsidRPr="00430DEF" w:rsidRDefault="00762BCB" w:rsidP="00430DEF"/>
    <w:sectPr w:rsidR="00762BCB" w:rsidRPr="00430DE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60E4" w:rsidRDefault="004E60E4">
      <w:r>
        <w:separator/>
      </w:r>
    </w:p>
  </w:endnote>
  <w:endnote w:type="continuationSeparator" w:id="0">
    <w:p w:rsidR="004E60E4" w:rsidRDefault="004E60E4">
      <w:r>
        <w:continuationSeparator/>
      </w:r>
    </w:p>
  </w:endnote>
  <w:endnote w:id="1">
    <w:p w:rsidR="00A3678B" w:rsidRDefault="00A3678B">
      <w:pPr>
        <w:pStyle w:val="EndnoteText"/>
      </w:pPr>
      <w:r>
        <w:rPr>
          <w:rStyle w:val="EndnoteReference"/>
        </w:rPr>
        <w:endnoteRef/>
      </w:r>
      <w:r>
        <w:t xml:space="preserve"> Exodus 40:2; Numbers 1:1</w:t>
      </w:r>
    </w:p>
  </w:endnote>
  <w:endnote w:id="2">
    <w:p w:rsidR="00A3678B" w:rsidRDefault="00A3678B">
      <w:pPr>
        <w:pStyle w:val="EndnoteText"/>
      </w:pPr>
      <w:r>
        <w:rPr>
          <w:rStyle w:val="EndnoteReference"/>
        </w:rPr>
        <w:endnoteRef/>
      </w:r>
      <w:r>
        <w:t xml:space="preserve"> Exodus 12:27</w:t>
      </w:r>
    </w:p>
  </w:endnote>
  <w:endnote w:id="3">
    <w:p w:rsidR="00A3678B" w:rsidRDefault="00A3678B">
      <w:pPr>
        <w:pStyle w:val="EndnoteText"/>
      </w:pPr>
      <w:r>
        <w:rPr>
          <w:rStyle w:val="EndnoteReference"/>
        </w:rPr>
        <w:endnoteRef/>
      </w:r>
      <w:r>
        <w:t xml:space="preserve"> Exodus 12:3, 6; Leviticus 23:5; Deuteronomy 16:1; 1 Corinthians 5:7</w:t>
      </w:r>
    </w:p>
  </w:endnote>
  <w:endnote w:id="4">
    <w:p w:rsidR="00A3678B" w:rsidRDefault="00A3678B">
      <w:pPr>
        <w:pStyle w:val="EndnoteText"/>
      </w:pPr>
      <w:r>
        <w:rPr>
          <w:rStyle w:val="EndnoteReference"/>
        </w:rPr>
        <w:endnoteRef/>
      </w:r>
      <w:r>
        <w:t xml:space="preserve"> Exodus 12:8</w:t>
      </w:r>
    </w:p>
  </w:endnote>
  <w:endnote w:id="5">
    <w:p w:rsidR="00A3678B" w:rsidRDefault="00A3678B">
      <w:pPr>
        <w:pStyle w:val="EndnoteText"/>
      </w:pPr>
      <w:r>
        <w:rPr>
          <w:rStyle w:val="EndnoteReference"/>
        </w:rPr>
        <w:endnoteRef/>
      </w:r>
      <w:r>
        <w:t xml:space="preserve"> Numbers 5:2; 19:14, 16</w:t>
      </w:r>
    </w:p>
  </w:endnote>
  <w:endnote w:id="6">
    <w:p w:rsidR="00A3678B" w:rsidRDefault="00A3678B">
      <w:pPr>
        <w:pStyle w:val="EndnoteText"/>
      </w:pPr>
      <w:r>
        <w:rPr>
          <w:rStyle w:val="EndnoteReference"/>
        </w:rPr>
        <w:endnoteRef/>
      </w:r>
      <w:r>
        <w:t xml:space="preserve"> Exodus 18:15; Numbers 15:33; 27:1, 2</w:t>
      </w:r>
    </w:p>
  </w:endnote>
  <w:endnote w:id="7">
    <w:p w:rsidR="00A3678B" w:rsidRDefault="00A3678B">
      <w:pPr>
        <w:pStyle w:val="EndnoteText"/>
      </w:pPr>
      <w:r>
        <w:rPr>
          <w:rStyle w:val="EndnoteReference"/>
        </w:rPr>
        <w:endnoteRef/>
      </w:r>
      <w:r>
        <w:t xml:space="preserve"> Leviticus 7:21; Deuteronomy 16:2</w:t>
      </w:r>
    </w:p>
  </w:endnote>
  <w:endnote w:id="8">
    <w:p w:rsidR="00A3678B" w:rsidRDefault="00A3678B">
      <w:pPr>
        <w:pStyle w:val="EndnoteText"/>
      </w:pPr>
      <w:r>
        <w:rPr>
          <w:rStyle w:val="EndnoteReference"/>
        </w:rPr>
        <w:endnoteRef/>
      </w:r>
      <w:r>
        <w:t xml:space="preserve"> Exodus 25:22; Leviticus 16:2; Psalms 99:6</w:t>
      </w:r>
    </w:p>
  </w:endnote>
  <w:endnote w:id="9">
    <w:p w:rsidR="00A3678B" w:rsidRDefault="00A3678B">
      <w:pPr>
        <w:pStyle w:val="EndnoteText"/>
      </w:pPr>
      <w:r>
        <w:rPr>
          <w:rStyle w:val="EndnoteReference"/>
        </w:rPr>
        <w:endnoteRef/>
      </w:r>
      <w:r>
        <w:t xml:space="preserve"> Numbers 5:2</w:t>
      </w:r>
    </w:p>
  </w:endnote>
  <w:endnote w:id="10">
    <w:p w:rsidR="00A3678B" w:rsidRDefault="00A3678B">
      <w:pPr>
        <w:pStyle w:val="EndnoteText"/>
      </w:pPr>
      <w:r>
        <w:rPr>
          <w:rStyle w:val="EndnoteReference"/>
        </w:rPr>
        <w:endnoteRef/>
      </w:r>
      <w:r>
        <w:t xml:space="preserve"> 2 Chronicles 30:2, 15</w:t>
      </w:r>
    </w:p>
  </w:endnote>
  <w:endnote w:id="11">
    <w:p w:rsidR="00A3678B" w:rsidRDefault="00A3678B">
      <w:pPr>
        <w:pStyle w:val="EndnoteText"/>
      </w:pPr>
      <w:r>
        <w:rPr>
          <w:rStyle w:val="EndnoteReference"/>
        </w:rPr>
        <w:endnoteRef/>
      </w:r>
      <w:r>
        <w:t xml:space="preserve"> Exodus 12:8</w:t>
      </w:r>
    </w:p>
  </w:endnote>
  <w:endnote w:id="12">
    <w:p w:rsidR="00A3678B" w:rsidRDefault="00A3678B">
      <w:pPr>
        <w:pStyle w:val="EndnoteText"/>
      </w:pPr>
      <w:r>
        <w:rPr>
          <w:rStyle w:val="EndnoteReference"/>
        </w:rPr>
        <w:endnoteRef/>
      </w:r>
      <w:r>
        <w:t xml:space="preserve"> Exodus 12:10</w:t>
      </w:r>
    </w:p>
  </w:endnote>
  <w:endnote w:id="13">
    <w:p w:rsidR="00A3678B" w:rsidRDefault="00A3678B">
      <w:pPr>
        <w:pStyle w:val="EndnoteText"/>
      </w:pPr>
      <w:r>
        <w:rPr>
          <w:rStyle w:val="EndnoteReference"/>
        </w:rPr>
        <w:endnoteRef/>
      </w:r>
      <w:r>
        <w:t xml:space="preserve"> Exodus 12:46; Psalms 34:20; John 19:36</w:t>
      </w:r>
    </w:p>
  </w:endnote>
  <w:endnote w:id="14">
    <w:p w:rsidR="00A3678B" w:rsidRDefault="00A3678B">
      <w:pPr>
        <w:pStyle w:val="EndnoteText"/>
      </w:pPr>
      <w:r>
        <w:rPr>
          <w:rStyle w:val="EndnoteReference"/>
        </w:rPr>
        <w:endnoteRef/>
      </w:r>
      <w:r>
        <w:t xml:space="preserve"> Exodus 12:15</w:t>
      </w:r>
    </w:p>
  </w:endnote>
  <w:endnote w:id="15">
    <w:p w:rsidR="00A3678B" w:rsidRDefault="00A3678B">
      <w:pPr>
        <w:pStyle w:val="EndnoteText"/>
      </w:pPr>
      <w:r>
        <w:rPr>
          <w:rStyle w:val="EndnoteReference"/>
        </w:rPr>
        <w:endnoteRef/>
      </w:r>
      <w:r>
        <w:t xml:space="preserve"> Exodus 12:19, 48</w:t>
      </w:r>
    </w:p>
  </w:endnote>
  <w:endnote w:id="16">
    <w:p w:rsidR="00A3678B" w:rsidRDefault="00A3678B">
      <w:pPr>
        <w:pStyle w:val="EndnoteText"/>
      </w:pPr>
      <w:r>
        <w:rPr>
          <w:rStyle w:val="EndnoteReference"/>
        </w:rPr>
        <w:endnoteRef/>
      </w:r>
      <w:r>
        <w:t xml:space="preserve"> Exodus 12:8</w:t>
      </w:r>
    </w:p>
  </w:endnote>
  <w:endnote w:id="17">
    <w:p w:rsidR="00A3678B" w:rsidRDefault="00A3678B">
      <w:pPr>
        <w:pStyle w:val="EndnoteText"/>
      </w:pPr>
      <w:r>
        <w:rPr>
          <w:rStyle w:val="EndnoteReference"/>
        </w:rPr>
        <w:endnoteRef/>
      </w:r>
      <w:r>
        <w:t xml:space="preserve"> Leviticus 24:22; Deuteronomy 31:12</w:t>
      </w:r>
    </w:p>
  </w:endnote>
  <w:endnote w:id="18">
    <w:p w:rsidR="00A3678B" w:rsidRDefault="00A3678B">
      <w:pPr>
        <w:pStyle w:val="EndnoteText"/>
      </w:pPr>
      <w:r>
        <w:rPr>
          <w:rStyle w:val="EndnoteReference"/>
        </w:rPr>
        <w:endnoteRef/>
      </w:r>
      <w:r>
        <w:t xml:space="preserve"> Exodus 40:2, 17</w:t>
      </w:r>
    </w:p>
  </w:endnote>
  <w:endnote w:id="19">
    <w:p w:rsidR="00A3678B" w:rsidRDefault="00A3678B">
      <w:pPr>
        <w:pStyle w:val="EndnoteText"/>
      </w:pPr>
      <w:r>
        <w:rPr>
          <w:rStyle w:val="EndnoteReference"/>
        </w:rPr>
        <w:endnoteRef/>
      </w:r>
      <w:r>
        <w:t xml:space="preserve"> Exodus 40:34, 38</w:t>
      </w:r>
    </w:p>
  </w:endnote>
  <w:endnote w:id="20">
    <w:p w:rsidR="00A3678B" w:rsidRDefault="00A3678B">
      <w:pPr>
        <w:pStyle w:val="EndnoteText"/>
      </w:pPr>
      <w:r>
        <w:rPr>
          <w:rStyle w:val="EndnoteReference"/>
        </w:rPr>
        <w:endnoteRef/>
      </w:r>
      <w:r>
        <w:t xml:space="preserve"> Exodus 13:22; Nehemiah 9:19</w:t>
      </w:r>
    </w:p>
  </w:endnote>
  <w:endnote w:id="21">
    <w:p w:rsidR="00A3678B" w:rsidRDefault="00A3678B">
      <w:pPr>
        <w:pStyle w:val="EndnoteText"/>
      </w:pPr>
      <w:r>
        <w:rPr>
          <w:rStyle w:val="EndnoteReference"/>
        </w:rPr>
        <w:endnoteRef/>
      </w:r>
      <w:r>
        <w:t xml:space="preserve"> Numbers 10:11, 34</w:t>
      </w:r>
    </w:p>
  </w:endnote>
  <w:endnote w:id="22">
    <w:p w:rsidR="00A3678B" w:rsidRDefault="00A3678B">
      <w:pPr>
        <w:pStyle w:val="EndnoteText"/>
      </w:pPr>
      <w:r>
        <w:rPr>
          <w:rStyle w:val="EndnoteReference"/>
        </w:rPr>
        <w:endnoteRef/>
      </w:r>
      <w:r>
        <w:t xml:space="preserve"> Exodus 40:36, 37</w:t>
      </w:r>
    </w:p>
  </w:endnote>
  <w:endnote w:id="23">
    <w:p w:rsidR="00A3678B" w:rsidRDefault="00A3678B">
      <w:pPr>
        <w:pStyle w:val="EndnoteText"/>
      </w:pPr>
      <w:r>
        <w:rPr>
          <w:rStyle w:val="EndnoteReference"/>
        </w:rPr>
        <w:endnoteRef/>
      </w:r>
      <w:r>
        <w:t xml:space="preserve"> Exodus 17:1; Numbers 10:11-13</w:t>
      </w:r>
    </w:p>
  </w:endnote>
  <w:endnote w:id="24">
    <w:p w:rsidR="00A3678B" w:rsidRDefault="00A3678B">
      <w:pPr>
        <w:pStyle w:val="EndnoteText"/>
      </w:pPr>
      <w:r>
        <w:rPr>
          <w:rStyle w:val="EndnoteReference"/>
        </w:rPr>
        <w:endnoteRef/>
      </w:r>
      <w:r>
        <w:t xml:space="preserve"> Exodus 40:37</w:t>
      </w:r>
    </w:p>
  </w:endnote>
  <w:endnote w:id="25">
    <w:p w:rsidR="00A3678B" w:rsidRDefault="00A3678B">
      <w:pPr>
        <w:pStyle w:val="EndnoteText"/>
      </w:pPr>
      <w:r>
        <w:rPr>
          <w:rStyle w:val="EndnoteReference"/>
        </w:rPr>
        <w:endnoteRef/>
      </w:r>
      <w:r>
        <w:t xml:space="preserve"> Exodus 40:36; Psalms 78:14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60E4" w:rsidRDefault="004E60E4">
      <w:r>
        <w:separator/>
      </w:r>
    </w:p>
  </w:footnote>
  <w:footnote w:type="continuationSeparator" w:id="0">
    <w:p w:rsidR="004E60E4" w:rsidRDefault="004E60E4">
      <w:r>
        <w:continuationSeparator/>
      </w:r>
    </w:p>
  </w:footnote>
  <w:footnote w:id="1">
    <w:p w:rsidR="00A3678B" w:rsidRDefault="00A3678B">
      <w:pPr>
        <w:pStyle w:val="FootnoteText"/>
      </w:pPr>
      <w:r>
        <w:rPr>
          <w:rStyle w:val="FootnoteReference"/>
        </w:rPr>
        <w:footnoteRef/>
      </w:r>
      <w:r>
        <w:t xml:space="preserve"> </w:t>
      </w:r>
      <w:r>
        <w:t>Lit., “between the two evenings.”</w:t>
      </w:r>
    </w:p>
  </w:footnote>
  <w:footnote w:id="2">
    <w:p w:rsidR="00A3678B" w:rsidRDefault="00A3678B">
      <w:pPr>
        <w:pStyle w:val="FootnoteText"/>
      </w:pPr>
      <w:r>
        <w:rPr>
          <w:rStyle w:val="FootnoteReference"/>
        </w:rPr>
        <w:footnoteRef/>
      </w:r>
      <w:r>
        <w:t xml:space="preserve"> </w:t>
      </w:r>
      <w:r>
        <w:t>Lit., “between the two evenings.”</w:t>
      </w:r>
    </w:p>
  </w:footnote>
  <w:footnote w:id="3">
    <w:p w:rsidR="00A3678B" w:rsidRDefault="00A3678B">
      <w:pPr>
        <w:pStyle w:val="FootnoteText"/>
      </w:pPr>
      <w:r>
        <w:rPr>
          <w:rStyle w:val="FootnoteReference"/>
        </w:rPr>
        <w:footnoteRef/>
      </w:r>
      <w:r>
        <w:t xml:space="preserve"> </w:t>
      </w:r>
      <w:r>
        <w:t>Or “by a human soul.”</w:t>
      </w:r>
    </w:p>
  </w:footnote>
  <w:footnote w:id="4">
    <w:p w:rsidR="00A3678B" w:rsidRDefault="00A3678B">
      <w:pPr>
        <w:pStyle w:val="FootnoteText"/>
      </w:pPr>
      <w:r>
        <w:rPr>
          <w:rStyle w:val="FootnoteReference"/>
        </w:rPr>
        <w:footnoteRef/>
      </w:r>
      <w:r>
        <w:t xml:space="preserve"> </w:t>
      </w:r>
      <w:r>
        <w:t>Or “because of a human soul.”</w:t>
      </w:r>
    </w:p>
  </w:footnote>
  <w:footnote w:id="5">
    <w:p w:rsidR="00A3678B" w:rsidRDefault="00A3678B">
      <w:pPr>
        <w:pStyle w:val="FootnoteText"/>
      </w:pPr>
      <w:r>
        <w:rPr>
          <w:rStyle w:val="FootnoteReference"/>
        </w:rPr>
        <w:footnoteRef/>
      </w:r>
      <w:r>
        <w:t xml:space="preserve"> </w:t>
      </w:r>
      <w:r>
        <w:t>Or “by a soul.”</w:t>
      </w:r>
    </w:p>
  </w:footnote>
  <w:footnote w:id="6">
    <w:p w:rsidR="00A3678B" w:rsidRDefault="00A3678B">
      <w:pPr>
        <w:pStyle w:val="FootnoteText"/>
      </w:pPr>
      <w:r>
        <w:rPr>
          <w:rStyle w:val="FootnoteReference"/>
        </w:rPr>
        <w:footnoteRef/>
      </w:r>
      <w:r>
        <w:t xml:space="preserve"> </w:t>
      </w:r>
      <w:r>
        <w:t>Lit., “between the two evenings.”</w:t>
      </w:r>
    </w:p>
  </w:footnote>
  <w:footnote w:id="7">
    <w:p w:rsidR="00A3678B" w:rsidRDefault="00A3678B">
      <w:pPr>
        <w:pStyle w:val="FootnoteText"/>
      </w:pPr>
      <w:r>
        <w:rPr>
          <w:rStyle w:val="FootnoteReference"/>
        </w:rPr>
        <w:footnoteRef/>
      </w:r>
      <w:r>
        <w:t xml:space="preserve"> </w:t>
      </w:r>
      <w:r>
        <w:t>Or “soul.”</w:t>
      </w:r>
    </w:p>
  </w:footnote>
  <w:footnote w:id="8">
    <w:p w:rsidR="00A3678B" w:rsidRDefault="00A3678B">
      <w:pPr>
        <w:pStyle w:val="FootnoteText"/>
      </w:pPr>
      <w:r>
        <w:rPr>
          <w:rStyle w:val="FootnoteReference"/>
        </w:rPr>
        <w:footnoteRef/>
      </w:r>
      <w:r>
        <w:t xml:space="preserve"> </w:t>
      </w:r>
      <w:r>
        <w:t>Or “put to death.”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3678B">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A3678B">
        <w:t>Numbers Chapter 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A3678B">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3678B">
      <w:rPr>
        <w:noProof/>
        <w:snapToGrid w:val="0"/>
      </w:rPr>
      <w:t>Numbers 09.Advisor.docx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A3678B">
        <w:t>Numbers Chapter 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3678B">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3678B">
      <w:rPr>
        <w:noProof/>
        <w:snapToGrid w:val="0"/>
      </w:rPr>
      <w:t>Numbers 09.Advisor.docx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3678B">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3678B">
      <w:t>&lt;not set&gt;</w:t>
    </w:r>
    <w:r>
      <w:fldChar w:fldCharType="end"/>
    </w:r>
    <w:r>
      <w:tab/>
      <w:t xml:space="preserve">Checker: </w:t>
    </w:r>
    <w:r>
      <w:fldChar w:fldCharType="begin"/>
    </w:r>
    <w:r>
      <w:instrText xml:space="preserve"> DOCPROPERTY "_RoleChecker" </w:instrText>
    </w:r>
    <w:r>
      <w:fldChar w:fldCharType="separate"/>
    </w:r>
    <w:r w:rsidR="00A3678B">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3678B">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0E4"/>
    <w:rsid w:val="00245EDD"/>
    <w:rsid w:val="0026230D"/>
    <w:rsid w:val="002B524D"/>
    <w:rsid w:val="002C00A8"/>
    <w:rsid w:val="00310508"/>
    <w:rsid w:val="003B380B"/>
    <w:rsid w:val="00430DEF"/>
    <w:rsid w:val="004500A2"/>
    <w:rsid w:val="004B7393"/>
    <w:rsid w:val="004C5EB7"/>
    <w:rsid w:val="004E60E4"/>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3678B"/>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bb5da00d646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3678B"/>
    <w:pPr>
      <w:spacing w:line="240" w:lineRule="auto"/>
    </w:pPr>
    <w:rPr>
      <w:sz w:val="20"/>
      <w:szCs w:val="20"/>
    </w:rPr>
  </w:style>
  <w:style w:type="character" w:customStyle="1" w:styleId="FootnoteTextChar">
    <w:name w:val="Footnote Text Char"/>
    <w:basedOn w:val="DefaultParagraphFont"/>
    <w:link w:val="FootnoteText"/>
    <w:rsid w:val="00A3678B"/>
    <w:rPr>
      <w:rFonts w:ascii="Arial" w:eastAsia="Times New Roman" w:hAnsi="Arial" w:cs="Latha"/>
      <w:lang w:val="en-US" w:eastAsia="en-US" w:bidi="ta-IN"/>
    </w:rPr>
  </w:style>
  <w:style w:type="character" w:styleId="FootnoteReference">
    <w:name w:val="footnote reference"/>
    <w:basedOn w:val="DefaultParagraphFont"/>
    <w:rsid w:val="00A3678B"/>
    <w:rPr>
      <w:vertAlign w:val="superscript"/>
    </w:rPr>
  </w:style>
  <w:style w:type="paragraph" w:styleId="EndnoteText">
    <w:name w:val="endnote text"/>
    <w:basedOn w:val="Normal"/>
    <w:link w:val="EndnoteTextChar"/>
    <w:rsid w:val="00A3678B"/>
    <w:pPr>
      <w:spacing w:line="240" w:lineRule="auto"/>
    </w:pPr>
    <w:rPr>
      <w:sz w:val="20"/>
      <w:szCs w:val="20"/>
    </w:rPr>
  </w:style>
  <w:style w:type="character" w:customStyle="1" w:styleId="EndnoteTextChar">
    <w:name w:val="Endnote Text Char"/>
    <w:basedOn w:val="DefaultParagraphFont"/>
    <w:link w:val="EndnoteText"/>
    <w:rsid w:val="00A3678B"/>
    <w:rPr>
      <w:rFonts w:ascii="Arial" w:eastAsia="Times New Roman" w:hAnsi="Arial" w:cs="Latha"/>
      <w:lang w:val="en-US" w:eastAsia="en-US" w:bidi="ta-IN"/>
    </w:rPr>
  </w:style>
  <w:style w:type="character" w:styleId="EndnoteReference">
    <w:name w:val="endnote reference"/>
    <w:basedOn w:val="DefaultParagraphFont"/>
    <w:rsid w:val="00A3678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3678B"/>
    <w:pPr>
      <w:spacing w:line="240" w:lineRule="auto"/>
    </w:pPr>
    <w:rPr>
      <w:sz w:val="20"/>
      <w:szCs w:val="20"/>
    </w:rPr>
  </w:style>
  <w:style w:type="character" w:customStyle="1" w:styleId="FootnoteTextChar">
    <w:name w:val="Footnote Text Char"/>
    <w:basedOn w:val="DefaultParagraphFont"/>
    <w:link w:val="FootnoteText"/>
    <w:rsid w:val="00A3678B"/>
    <w:rPr>
      <w:rFonts w:ascii="Arial" w:eastAsia="Times New Roman" w:hAnsi="Arial" w:cs="Latha"/>
      <w:lang w:val="en-US" w:eastAsia="en-US" w:bidi="ta-IN"/>
    </w:rPr>
  </w:style>
  <w:style w:type="character" w:styleId="FootnoteReference">
    <w:name w:val="footnote reference"/>
    <w:basedOn w:val="DefaultParagraphFont"/>
    <w:rsid w:val="00A3678B"/>
    <w:rPr>
      <w:vertAlign w:val="superscript"/>
    </w:rPr>
  </w:style>
  <w:style w:type="paragraph" w:styleId="EndnoteText">
    <w:name w:val="endnote text"/>
    <w:basedOn w:val="Normal"/>
    <w:link w:val="EndnoteTextChar"/>
    <w:rsid w:val="00A3678B"/>
    <w:pPr>
      <w:spacing w:line="240" w:lineRule="auto"/>
    </w:pPr>
    <w:rPr>
      <w:sz w:val="20"/>
      <w:szCs w:val="20"/>
    </w:rPr>
  </w:style>
  <w:style w:type="character" w:customStyle="1" w:styleId="EndnoteTextChar">
    <w:name w:val="Endnote Text Char"/>
    <w:basedOn w:val="DefaultParagraphFont"/>
    <w:link w:val="EndnoteText"/>
    <w:rsid w:val="00A3678B"/>
    <w:rPr>
      <w:rFonts w:ascii="Arial" w:eastAsia="Times New Roman" w:hAnsi="Arial" w:cs="Latha"/>
      <w:lang w:val="en-US" w:eastAsia="en-US" w:bidi="ta-IN"/>
    </w:rPr>
  </w:style>
  <w:style w:type="character" w:styleId="EndnoteReference">
    <w:name w:val="endnote reference"/>
    <w:basedOn w:val="DefaultParagraphFont"/>
    <w:rsid w:val="00A367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bb5da00d64641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687</ap:Words>
  <ap:Characters>3138</ap:Characters>
  <ap:Application>Microsoft Office Word</ap:Application>
  <ap:DocSecurity>0</ap:DocSecurity>
  <ap:Lines>50</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3818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9</dc:title>
  <dc:subject/>
  <dc:creator>David Waterson</dc:creator>
  <cp:keywords/>
  <dc:description/>
  <cp:lastModifiedBy>David Waterson</cp:lastModifiedBy>
  <cp:revision>3</cp:revision>
  <dcterms:created xsi:type="dcterms:W3CDTF">2019-08-04T14:12:00Z</dcterms:created>
  <dcterms:modified xsi:type="dcterms:W3CDTF">2019-08-04T14:12:00Z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09.docx</vt:lpwstr>
  </property>
  <property fmtid="{D5CDD505-2E9C-101B-9397-08002B2CF9AE}" pid="9" name="_TranslationDocumentId">
    <vt:i4>19456</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