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6553" w:rsidRDefault="00FB6553" w:rsidP="00FB6553">
      <w:pPr>
        <w:rPr>
          <w:rFonts w:ascii="MEPS Bookman WTS" w:eastAsia="Segoe UI" w:hAnsi="MEPS Bookman WTS" w:cs="Segoe UI"/>
        </w:rPr>
      </w:pPr>
      <w:bookmarkStart w:id="0" w:name="_GoBack"/>
      <w:bookmarkEnd w:id="0"/>
      <w:r>
        <w:rPr>
          <w:rFonts w:eastAsia="Segoe UI" w:cs="Arial"/>
          <w:b/>
        </w:rPr>
        <w:t xml:space="preserve">21:1 </w:t>
      </w:r>
      <w:r>
        <w:rPr>
          <w:rFonts w:eastAsia="Segoe UI" w:cs="Arial"/>
        </w:rPr>
        <w:t>When the Ca′naan·ite king of A′rad,</w:t>
      </w:r>
      <w:r w:rsidR="00334982">
        <w:rPr>
          <w:rStyle w:val="EndnoteReference"/>
          <w:rFonts w:eastAsia="Segoe UI" w:cs="Arial"/>
        </w:rPr>
        <w:endnoteReference w:id="1"/>
      </w:r>
      <w:r>
        <w:rPr>
          <w:rFonts w:eastAsia="Segoe UI" w:cs="Arial"/>
        </w:rPr>
        <w:t xml:space="preserve"> who dwelled in the Neg′eb, heard that Israel had come by the way of Ath′a·rim, he attacked Israel and carried away some of them as captives. </w:t>
      </w:r>
      <w:r>
        <w:rPr>
          <w:rFonts w:eastAsia="Segoe UI" w:cs="Arial"/>
          <w:b/>
        </w:rPr>
        <w:t xml:space="preserve">2 </w:t>
      </w:r>
      <w:r>
        <w:rPr>
          <w:rFonts w:eastAsia="Segoe UI" w:cs="Arial"/>
        </w:rPr>
        <w:t xml:space="preserve">So Israel made this vow to Jehovah: “If you give this people into my hand, I will without fail devote their cities to destruction.” </w:t>
      </w:r>
      <w:r>
        <w:rPr>
          <w:rFonts w:eastAsia="Segoe UI" w:cs="Arial"/>
          <w:b/>
        </w:rPr>
        <w:t xml:space="preserve">3 </w:t>
      </w:r>
      <w:r>
        <w:rPr>
          <w:rFonts w:eastAsia="Segoe UI" w:cs="Arial"/>
        </w:rPr>
        <w:t>So Jehovah listened to Israel’s voice and gave the Ca′naan·ites over to them, and they devoted them and their cities to destruction. Therefore, they named the place Hor′mah.</w:t>
      </w:r>
      <w:r w:rsidR="00334982">
        <w:rPr>
          <w:rStyle w:val="FootnoteReference"/>
          <w:rFonts w:eastAsia="Segoe UI" w:cs="Arial"/>
        </w:rPr>
        <w:footnoteReference w:id="1"/>
      </w:r>
      <w:r w:rsidR="00334982">
        <w:rPr>
          <w:rStyle w:val="EndnoteReference"/>
          <w:rFonts w:eastAsia="Segoe UI" w:cs="Arial"/>
        </w:rPr>
        <w:endnoteReference w:id="2"/>
      </w:r>
    </w:p>
    <w:p w:rsidR="00FB6553" w:rsidRDefault="00FB6553" w:rsidP="00FB6553">
      <w:pPr>
        <w:rPr>
          <w:rFonts w:ascii="MEPS Bookman WTS" w:eastAsia="Segoe UI" w:hAnsi="MEPS Bookman WTS" w:cs="Segoe UI"/>
        </w:rPr>
      </w:pPr>
      <w:r>
        <w:rPr>
          <w:rFonts w:eastAsia="Segoe UI" w:cs="Arial"/>
          <w:b/>
        </w:rPr>
        <w:t xml:space="preserve">4 </w:t>
      </w:r>
      <w:r>
        <w:rPr>
          <w:rFonts w:eastAsia="Segoe UI" w:cs="Arial"/>
        </w:rPr>
        <w:t>As they continued their journey from Mount Hor</w:t>
      </w:r>
      <w:r w:rsidR="00334982">
        <w:rPr>
          <w:rStyle w:val="EndnoteReference"/>
          <w:rFonts w:eastAsia="Segoe UI" w:cs="Arial"/>
        </w:rPr>
        <w:endnoteReference w:id="3"/>
      </w:r>
      <w:r>
        <w:rPr>
          <w:rFonts w:eastAsia="Segoe UI" w:cs="Arial"/>
        </w:rPr>
        <w:t xml:space="preserve"> by the way of the Red Sea in order to go around the land of E′dom,</w:t>
      </w:r>
      <w:r w:rsidR="00334982">
        <w:rPr>
          <w:rStyle w:val="EndnoteReference"/>
          <w:rFonts w:eastAsia="Segoe UI" w:cs="Arial"/>
        </w:rPr>
        <w:endnoteReference w:id="4"/>
      </w:r>
      <w:r>
        <w:rPr>
          <w:rFonts w:eastAsia="Segoe UI" w:cs="Arial"/>
        </w:rPr>
        <w:t xml:space="preserve"> the people</w:t>
      </w:r>
      <w:r w:rsidR="00334982">
        <w:rPr>
          <w:rStyle w:val="FootnoteReference"/>
          <w:rFonts w:eastAsia="Segoe UI" w:cs="Arial"/>
        </w:rPr>
        <w:footnoteReference w:id="2"/>
      </w:r>
      <w:r>
        <w:rPr>
          <w:rFonts w:eastAsia="Segoe UI" w:cs="Arial"/>
        </w:rPr>
        <w:t xml:space="preserve"> became weary of the journey. </w:t>
      </w:r>
      <w:r>
        <w:rPr>
          <w:rFonts w:eastAsia="Segoe UI" w:cs="Arial"/>
          <w:b/>
        </w:rPr>
        <w:t xml:space="preserve">5 </w:t>
      </w:r>
      <w:r>
        <w:rPr>
          <w:rFonts w:eastAsia="Segoe UI" w:cs="Arial"/>
        </w:rPr>
        <w:t>And the people kept speaking against God and Moses,</w:t>
      </w:r>
      <w:r w:rsidR="00334982">
        <w:rPr>
          <w:rStyle w:val="EndnoteReference"/>
          <w:rFonts w:eastAsia="Segoe UI" w:cs="Arial"/>
        </w:rPr>
        <w:endnoteReference w:id="5"/>
      </w:r>
      <w:r>
        <w:rPr>
          <w:rFonts w:eastAsia="Segoe UI" w:cs="Arial"/>
        </w:rPr>
        <w:t xml:space="preserve"> saying: “Why have you brought us up out of Egypt to die in the wilderness? There is no food and no water,</w:t>
      </w:r>
      <w:r w:rsidR="00334982">
        <w:rPr>
          <w:rStyle w:val="EndnoteReference"/>
          <w:rFonts w:eastAsia="Segoe UI" w:cs="Arial"/>
        </w:rPr>
        <w:endnoteReference w:id="6"/>
      </w:r>
      <w:r>
        <w:rPr>
          <w:rFonts w:eastAsia="Segoe UI" w:cs="Arial"/>
        </w:rPr>
        <w:t xml:space="preserve"> and we</w:t>
      </w:r>
      <w:r w:rsidR="00334982">
        <w:rPr>
          <w:rStyle w:val="FootnoteReference"/>
          <w:rFonts w:eastAsia="Segoe UI" w:cs="Arial"/>
        </w:rPr>
        <w:footnoteReference w:id="3"/>
      </w:r>
      <w:r>
        <w:rPr>
          <w:rFonts w:eastAsia="Segoe UI" w:cs="Arial"/>
        </w:rPr>
        <w:t xml:space="preserve"> have come to hate</w:t>
      </w:r>
      <w:r w:rsidR="00334982">
        <w:rPr>
          <w:rStyle w:val="FootnoteReference"/>
          <w:rFonts w:eastAsia="Segoe UI" w:cs="Arial"/>
        </w:rPr>
        <w:footnoteReference w:id="4"/>
      </w:r>
      <w:r>
        <w:rPr>
          <w:rFonts w:eastAsia="Segoe UI" w:cs="Arial"/>
        </w:rPr>
        <w:t xml:space="preserve"> this contemptible bread.”</w:t>
      </w:r>
      <w:r w:rsidR="00334982">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6 </w:t>
      </w:r>
      <w:r>
        <w:rPr>
          <w:rFonts w:eastAsia="Segoe UI" w:cs="Arial"/>
        </w:rPr>
        <w:t>So Jehovah sent poisonous</w:t>
      </w:r>
      <w:r w:rsidR="00334982">
        <w:rPr>
          <w:rStyle w:val="FootnoteReference"/>
          <w:rFonts w:eastAsia="Segoe UI" w:cs="Arial"/>
        </w:rPr>
        <w:footnoteReference w:id="5"/>
      </w:r>
      <w:r>
        <w:rPr>
          <w:rFonts w:eastAsia="Segoe UI" w:cs="Arial"/>
        </w:rPr>
        <w:t xml:space="preserve"> serpents among the people, and they kept biting the people, so that many Israelites died.</w:t>
      </w:r>
      <w:r w:rsidR="00334982">
        <w:rPr>
          <w:rStyle w:val="EndnoteReference"/>
          <w:rFonts w:eastAsia="Segoe UI" w:cs="Arial"/>
        </w:rPr>
        <w:endnoteReference w:id="8"/>
      </w:r>
    </w:p>
    <w:p w:rsidR="00FB6553" w:rsidRDefault="00FB6553" w:rsidP="00FB6553">
      <w:pPr>
        <w:rPr>
          <w:rFonts w:ascii="MEPS Bookman WTS" w:eastAsia="Segoe UI" w:hAnsi="MEPS Bookman WTS" w:cs="Segoe UI"/>
        </w:rPr>
      </w:pPr>
      <w:r>
        <w:rPr>
          <w:rFonts w:eastAsia="Segoe UI" w:cs="Arial"/>
          <w:b/>
        </w:rPr>
        <w:t xml:space="preserve">7 </w:t>
      </w:r>
      <w:r>
        <w:rPr>
          <w:rFonts w:eastAsia="Segoe UI" w:cs="Arial"/>
        </w:rPr>
        <w:t>So the people came to Moses and said: “We have sinned by speaking against Jehovah and against you.</w:t>
      </w:r>
      <w:r w:rsidR="00334982">
        <w:rPr>
          <w:rStyle w:val="EndnoteReference"/>
          <w:rFonts w:eastAsia="Segoe UI" w:cs="Arial"/>
        </w:rPr>
        <w:endnoteReference w:id="9"/>
      </w:r>
      <w:r>
        <w:rPr>
          <w:rFonts w:eastAsia="Segoe UI" w:cs="Arial"/>
        </w:rPr>
        <w:t xml:space="preserve"> Intercede with Jehovah so that he may remove the serpents from us.” And Moses interceded on behalf of the people.</w:t>
      </w:r>
      <w:r w:rsidR="00334982">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8 </w:t>
      </w:r>
      <w:r>
        <w:rPr>
          <w:rFonts w:eastAsia="Segoe UI" w:cs="Arial"/>
        </w:rPr>
        <w:t>Then Jehovah said to Moses: “Make a replica of a poisonous</w:t>
      </w:r>
      <w:r w:rsidR="00334982">
        <w:rPr>
          <w:rStyle w:val="FootnoteReference"/>
          <w:rFonts w:eastAsia="Segoe UI" w:cs="Arial"/>
        </w:rPr>
        <w:footnoteReference w:id="6"/>
      </w:r>
      <w:r>
        <w:rPr>
          <w:rFonts w:eastAsia="Segoe UI" w:cs="Arial"/>
        </w:rPr>
        <w:t xml:space="preserve"> snake and put it on a pole. Then when anyone has been bitten, he will have to look at it in order to keep alive.” </w:t>
      </w:r>
      <w:r>
        <w:rPr>
          <w:rFonts w:eastAsia="Segoe UI" w:cs="Arial"/>
          <w:b/>
        </w:rPr>
        <w:t xml:space="preserve">9 </w:t>
      </w:r>
      <w:r>
        <w:rPr>
          <w:rFonts w:eastAsia="Segoe UI" w:cs="Arial"/>
        </w:rPr>
        <w:t>Moses at once made a serpent of copper</w:t>
      </w:r>
      <w:r w:rsidR="00334982">
        <w:rPr>
          <w:rStyle w:val="EndnoteReference"/>
          <w:rFonts w:eastAsia="Segoe UI" w:cs="Arial"/>
        </w:rPr>
        <w:endnoteReference w:id="11"/>
      </w:r>
      <w:r>
        <w:rPr>
          <w:rFonts w:eastAsia="Segoe UI" w:cs="Arial"/>
        </w:rPr>
        <w:t xml:space="preserve"> and put it on the pole,</w:t>
      </w:r>
      <w:r w:rsidR="00334982">
        <w:rPr>
          <w:rStyle w:val="EndnoteReference"/>
          <w:rFonts w:eastAsia="Segoe UI" w:cs="Arial"/>
        </w:rPr>
        <w:endnoteReference w:id="12"/>
      </w:r>
      <w:r>
        <w:rPr>
          <w:rFonts w:eastAsia="Segoe UI" w:cs="Arial"/>
        </w:rPr>
        <w:t xml:space="preserve"> and whenever a serpent had bitten a man and he looked at the copper serpent, he survived.</w:t>
      </w:r>
      <w:r w:rsidR="00334982">
        <w:rPr>
          <w:rStyle w:val="EndnoteReference"/>
          <w:rFonts w:eastAsia="Segoe UI" w:cs="Arial"/>
        </w:rPr>
        <w:endnoteReference w:id="13"/>
      </w:r>
    </w:p>
    <w:p w:rsidR="00FB6553" w:rsidRDefault="00FB6553" w:rsidP="00FB6553">
      <w:pPr>
        <w:rPr>
          <w:rFonts w:eastAsia="Segoe UI" w:cs="Arial"/>
        </w:rPr>
      </w:pPr>
      <w:r>
        <w:rPr>
          <w:rFonts w:eastAsia="Segoe UI" w:cs="Arial"/>
          <w:b/>
        </w:rPr>
        <w:t xml:space="preserve">10 </w:t>
      </w:r>
      <w:r>
        <w:rPr>
          <w:rFonts w:eastAsia="Segoe UI" w:cs="Arial"/>
        </w:rPr>
        <w:t>After that the Israelites departed and camped in O′both.</w:t>
      </w:r>
      <w:r w:rsidR="00334982">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11 </w:t>
      </w:r>
      <w:r>
        <w:rPr>
          <w:rFonts w:eastAsia="Segoe UI" w:cs="Arial"/>
        </w:rPr>
        <w:t>Then they departed from O′both and camped in I′ye-ab′a·rim,</w:t>
      </w:r>
      <w:r w:rsidR="00334982">
        <w:rPr>
          <w:rStyle w:val="EndnoteReference"/>
          <w:rFonts w:eastAsia="Segoe UI" w:cs="Arial"/>
        </w:rPr>
        <w:endnoteReference w:id="15"/>
      </w:r>
      <w:r>
        <w:rPr>
          <w:rFonts w:eastAsia="Segoe UI" w:cs="Arial"/>
        </w:rPr>
        <w:t xml:space="preserve"> in the wilderness that faces Mo′ab, toward the east. </w:t>
      </w:r>
      <w:r>
        <w:rPr>
          <w:rFonts w:eastAsia="Segoe UI" w:cs="Arial"/>
          <w:b/>
        </w:rPr>
        <w:t xml:space="preserve">12 </w:t>
      </w:r>
      <w:r>
        <w:rPr>
          <w:rFonts w:eastAsia="Segoe UI" w:cs="Arial"/>
        </w:rPr>
        <w:t>From there they departed and camped by the Valley</w:t>
      </w:r>
      <w:r w:rsidR="00334982">
        <w:rPr>
          <w:rStyle w:val="FootnoteReference"/>
          <w:rFonts w:eastAsia="Segoe UI" w:cs="Arial"/>
        </w:rPr>
        <w:footnoteReference w:id="7"/>
      </w:r>
      <w:r>
        <w:rPr>
          <w:rFonts w:eastAsia="Segoe UI" w:cs="Arial"/>
        </w:rPr>
        <w:t xml:space="preserve"> of Ze′red.</w:t>
      </w:r>
      <w:r w:rsidR="00334982">
        <w:rPr>
          <w:rStyle w:val="EndnoteReference"/>
          <w:rFonts w:eastAsia="Segoe UI" w:cs="Arial"/>
        </w:rPr>
        <w:endnoteReference w:id="16"/>
      </w:r>
      <w:r>
        <w:rPr>
          <w:rFonts w:ascii="MEPS Bookman WTS" w:eastAsia="Segoe UI" w:hAnsi="MEPS Bookman WTS" w:cs="Segoe UI"/>
        </w:rPr>
        <w:t xml:space="preserve"> </w:t>
      </w:r>
      <w:r>
        <w:rPr>
          <w:rFonts w:eastAsia="Segoe UI" w:cs="Arial"/>
          <w:b/>
        </w:rPr>
        <w:t xml:space="preserve">13 </w:t>
      </w:r>
      <w:r>
        <w:rPr>
          <w:rFonts w:eastAsia="Segoe UI" w:cs="Arial"/>
        </w:rPr>
        <w:t>From there they departed and camped in the region of the Ar′non,</w:t>
      </w:r>
      <w:r w:rsidR="00334982">
        <w:rPr>
          <w:rStyle w:val="EndnoteReference"/>
          <w:rFonts w:eastAsia="Segoe UI" w:cs="Arial"/>
        </w:rPr>
        <w:endnoteReference w:id="17"/>
      </w:r>
      <w:r>
        <w:rPr>
          <w:rFonts w:eastAsia="Segoe UI" w:cs="Arial"/>
        </w:rPr>
        <w:t xml:space="preserve"> which is in the wilderness that extends from the border of the Am′or·ites, for the Ar′non is the boundary of Mo′ab, between Mo′ab and the Am′or·ites. </w:t>
      </w:r>
      <w:r>
        <w:rPr>
          <w:rFonts w:eastAsia="Segoe UI" w:cs="Arial"/>
          <w:b/>
        </w:rPr>
        <w:t xml:space="preserve">14 </w:t>
      </w:r>
      <w:r>
        <w:rPr>
          <w:rFonts w:eastAsia="Segoe UI" w:cs="Arial"/>
        </w:rPr>
        <w:t>That is why the book of the Wars of Jehovah speaks of “Va′heb in Su′phah and the valleys</w:t>
      </w:r>
      <w:r w:rsidR="00334982">
        <w:rPr>
          <w:rStyle w:val="FootnoteReference"/>
          <w:rFonts w:eastAsia="Segoe UI" w:cs="Arial"/>
        </w:rPr>
        <w:footnoteReference w:id="8"/>
      </w:r>
      <w:r>
        <w:rPr>
          <w:rFonts w:eastAsia="Segoe UI" w:cs="Arial"/>
        </w:rPr>
        <w:t xml:space="preserve"> of Ar′non, </w:t>
      </w:r>
      <w:r>
        <w:rPr>
          <w:rFonts w:eastAsia="Segoe UI" w:cs="Arial"/>
          <w:b/>
        </w:rPr>
        <w:t xml:space="preserve">15 </w:t>
      </w:r>
      <w:r>
        <w:rPr>
          <w:rFonts w:eastAsia="Segoe UI" w:cs="Arial"/>
        </w:rPr>
        <w:t>and the descent</w:t>
      </w:r>
      <w:r w:rsidR="00334982">
        <w:rPr>
          <w:rStyle w:val="FootnoteReference"/>
          <w:rFonts w:eastAsia="Segoe UI" w:cs="Arial"/>
        </w:rPr>
        <w:footnoteReference w:id="9"/>
      </w:r>
      <w:r>
        <w:rPr>
          <w:rFonts w:eastAsia="Segoe UI" w:cs="Arial"/>
        </w:rPr>
        <w:t xml:space="preserve"> of the valleys,</w:t>
      </w:r>
      <w:r w:rsidR="00334982">
        <w:rPr>
          <w:rStyle w:val="FootnoteReference"/>
          <w:rFonts w:eastAsia="Segoe UI" w:cs="Arial"/>
        </w:rPr>
        <w:footnoteReference w:id="10"/>
      </w:r>
      <w:r>
        <w:rPr>
          <w:rFonts w:eastAsia="Segoe UI" w:cs="Arial"/>
        </w:rPr>
        <w:t xml:space="preserve"> which extends toward the settlement of Ar and adjoins the border of Mo′ab.”</w:t>
      </w:r>
    </w:p>
    <w:p w:rsidR="00FB6553" w:rsidRDefault="00FB6553" w:rsidP="00FB6553">
      <w:pPr>
        <w:rPr>
          <w:rFonts w:eastAsia="Segoe UI" w:cs="Arial"/>
        </w:rPr>
      </w:pPr>
      <w:r>
        <w:rPr>
          <w:rFonts w:eastAsia="Segoe UI" w:cs="Arial"/>
          <w:b/>
        </w:rPr>
        <w:t xml:space="preserve">16 </w:t>
      </w:r>
      <w:r>
        <w:rPr>
          <w:rFonts w:eastAsia="Segoe UI" w:cs="Arial"/>
        </w:rPr>
        <w:t>Next they went on to Be′er. This is the well about which Jehovah said to Moses: “Gather the people, and let me give them water.”</w:t>
      </w:r>
    </w:p>
    <w:p w:rsidR="00FB6553" w:rsidRDefault="00FB6553" w:rsidP="00FB6553">
      <w:pPr>
        <w:rPr>
          <w:rFonts w:eastAsia="Segoe UI" w:cs="Arial"/>
        </w:rPr>
      </w:pPr>
      <w:r>
        <w:rPr>
          <w:rFonts w:eastAsia="Segoe UI" w:cs="Arial"/>
          <w:b/>
        </w:rPr>
        <w:t xml:space="preserve">17 </w:t>
      </w:r>
      <w:r>
        <w:rPr>
          <w:rFonts w:eastAsia="Segoe UI" w:cs="Arial"/>
        </w:rPr>
        <w:t>At that time, Israel sang this song:</w:t>
      </w:r>
    </w:p>
    <w:p w:rsidR="00FB6553" w:rsidRDefault="00FB6553" w:rsidP="00FB6553">
      <w:pPr>
        <w:rPr>
          <w:rFonts w:eastAsia="Segoe UI" w:cs="Arial"/>
        </w:rPr>
      </w:pPr>
      <w:r>
        <w:rPr>
          <w:rFonts w:eastAsia="Segoe UI" w:cs="Arial"/>
        </w:rPr>
        <w:t>“Spring up, O well!—Respond</w:t>
      </w:r>
      <w:r w:rsidR="00334982">
        <w:rPr>
          <w:rStyle w:val="FootnoteReference"/>
          <w:rFonts w:eastAsia="Segoe UI" w:cs="Arial"/>
        </w:rPr>
        <w:footnoteReference w:id="11"/>
      </w:r>
      <w:r>
        <w:rPr>
          <w:rFonts w:eastAsia="Segoe UI" w:cs="Arial"/>
        </w:rPr>
        <w:t xml:space="preserve"> to it!</w:t>
      </w:r>
    </w:p>
    <w:p w:rsidR="00FB6553" w:rsidRDefault="00FB6553" w:rsidP="00FB6553">
      <w:pPr>
        <w:rPr>
          <w:rFonts w:eastAsia="Segoe UI" w:cs="Arial"/>
        </w:rPr>
      </w:pPr>
      <w:r>
        <w:rPr>
          <w:rFonts w:eastAsia="Segoe UI" w:cs="Arial"/>
          <w:b/>
        </w:rPr>
        <w:t xml:space="preserve">18 </w:t>
      </w:r>
      <w:r>
        <w:rPr>
          <w:rFonts w:eastAsia="Segoe UI" w:cs="Arial"/>
        </w:rPr>
        <w:t>The well that princes dug, that nobles of the people excavated,</w:t>
      </w:r>
    </w:p>
    <w:p w:rsidR="00FB6553" w:rsidRDefault="00FB6553" w:rsidP="00FB6553">
      <w:pPr>
        <w:rPr>
          <w:rFonts w:eastAsia="Segoe UI" w:cs="Arial"/>
        </w:rPr>
      </w:pPr>
      <w:r>
        <w:rPr>
          <w:rFonts w:eastAsia="Segoe UI" w:cs="Arial"/>
        </w:rPr>
        <w:t>With a commander’s staff and with their own staffs.”</w:t>
      </w:r>
    </w:p>
    <w:p w:rsidR="00FB6553" w:rsidRDefault="00FB6553" w:rsidP="00FB6553">
      <w:pPr>
        <w:rPr>
          <w:rFonts w:ascii="MEPS Bookman WTS" w:eastAsia="Segoe UI" w:hAnsi="MEPS Bookman WTS" w:cs="Segoe UI"/>
        </w:rPr>
      </w:pPr>
      <w:r>
        <w:rPr>
          <w:rFonts w:eastAsia="Segoe UI" w:cs="Arial"/>
        </w:rPr>
        <w:t xml:space="preserve">Then they went from the wilderness on to Mat′ta·nah, </w:t>
      </w:r>
      <w:r>
        <w:rPr>
          <w:rFonts w:eastAsia="Segoe UI" w:cs="Arial"/>
          <w:b/>
        </w:rPr>
        <w:t xml:space="preserve">19 </w:t>
      </w:r>
      <w:r>
        <w:rPr>
          <w:rFonts w:eastAsia="Segoe UI" w:cs="Arial"/>
        </w:rPr>
        <w:t>from Mat′ta·nah on to Na·hal′i·el, and from Na·hal′i·el on to Ba′moth.</w:t>
      </w:r>
      <w:r w:rsidR="00334982">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20 </w:t>
      </w:r>
      <w:r>
        <w:rPr>
          <w:rFonts w:eastAsia="Segoe UI" w:cs="Arial"/>
        </w:rPr>
        <w:t>They went from Ba′moth on to the valley that is in the territory</w:t>
      </w:r>
      <w:r w:rsidR="00334982">
        <w:rPr>
          <w:rStyle w:val="FootnoteReference"/>
          <w:rFonts w:eastAsia="Segoe UI" w:cs="Arial"/>
        </w:rPr>
        <w:footnoteReference w:id="12"/>
      </w:r>
      <w:r>
        <w:rPr>
          <w:rFonts w:eastAsia="Segoe UI" w:cs="Arial"/>
        </w:rPr>
        <w:t xml:space="preserve"> of Mo′ab,</w:t>
      </w:r>
      <w:r w:rsidR="00334982">
        <w:rPr>
          <w:rStyle w:val="EndnoteReference"/>
          <w:rFonts w:eastAsia="Segoe UI" w:cs="Arial"/>
        </w:rPr>
        <w:endnoteReference w:id="19"/>
      </w:r>
      <w:r>
        <w:rPr>
          <w:rFonts w:eastAsia="Segoe UI" w:cs="Arial"/>
        </w:rPr>
        <w:t xml:space="preserve"> on top of Pis′gah,</w:t>
      </w:r>
      <w:r w:rsidR="00334982">
        <w:rPr>
          <w:rStyle w:val="EndnoteReference"/>
          <w:rFonts w:eastAsia="Segoe UI" w:cs="Arial"/>
        </w:rPr>
        <w:endnoteReference w:id="20"/>
      </w:r>
      <w:r>
        <w:rPr>
          <w:rFonts w:eastAsia="Segoe UI" w:cs="Arial"/>
        </w:rPr>
        <w:t xml:space="preserve"> which overlooks Je·shi′mon.</w:t>
      </w:r>
      <w:r w:rsidR="00334982">
        <w:rPr>
          <w:rStyle w:val="FootnoteReference"/>
          <w:rFonts w:eastAsia="Segoe UI" w:cs="Arial"/>
        </w:rPr>
        <w:footnoteReference w:id="13"/>
      </w:r>
      <w:r w:rsidR="00334982">
        <w:rPr>
          <w:rStyle w:val="EndnoteReference"/>
          <w:rFonts w:eastAsia="Segoe UI" w:cs="Arial"/>
        </w:rPr>
        <w:endnoteReference w:id="21"/>
      </w:r>
    </w:p>
    <w:p w:rsidR="00FB6553" w:rsidRDefault="00FB6553" w:rsidP="00FB6553">
      <w:pPr>
        <w:rPr>
          <w:rFonts w:ascii="MEPS Bookman WTS" w:eastAsia="Segoe UI" w:hAnsi="MEPS Bookman WTS" w:cs="Segoe UI"/>
        </w:rPr>
      </w:pPr>
      <w:r>
        <w:rPr>
          <w:rFonts w:eastAsia="Segoe UI" w:cs="Arial"/>
          <w:b/>
        </w:rPr>
        <w:t xml:space="preserve">21 </w:t>
      </w:r>
      <w:r>
        <w:rPr>
          <w:rFonts w:eastAsia="Segoe UI" w:cs="Arial"/>
        </w:rPr>
        <w:t>Israel now sent messengers to Si′hon, the king of the Am′or·ites, saying:</w:t>
      </w:r>
      <w:r w:rsidR="00334982">
        <w:rPr>
          <w:rStyle w:val="EndnoteReference"/>
          <w:rFonts w:eastAsia="Segoe UI" w:cs="Arial"/>
        </w:rPr>
        <w:endnoteReference w:id="22"/>
      </w:r>
      <w:r>
        <w:rPr>
          <w:rFonts w:ascii="MEPS Bookman WTS" w:eastAsia="Segoe UI" w:hAnsi="MEPS Bookman WTS" w:cs="Segoe UI"/>
        </w:rPr>
        <w:t xml:space="preserve"> </w:t>
      </w:r>
      <w:r>
        <w:rPr>
          <w:rFonts w:eastAsia="Segoe UI" w:cs="Arial"/>
          <w:b/>
        </w:rPr>
        <w:t xml:space="preserve">22 </w:t>
      </w:r>
      <w:r>
        <w:rPr>
          <w:rFonts w:eastAsia="Segoe UI" w:cs="Arial"/>
        </w:rPr>
        <w:t>“Let us pass through your land. We will not turn aside into a field or a vineyard. We will not drink water from any well. We will march on the King’s Road until we pass through your territory.”</w:t>
      </w:r>
      <w:r w:rsidR="00334982">
        <w:rPr>
          <w:rStyle w:val="EndnoteReference"/>
          <w:rFonts w:eastAsia="Segoe UI" w:cs="Arial"/>
        </w:rPr>
        <w:endnoteReference w:id="23"/>
      </w:r>
      <w:r>
        <w:rPr>
          <w:rFonts w:ascii="MEPS Bookman WTS" w:eastAsia="Segoe UI" w:hAnsi="MEPS Bookman WTS" w:cs="Segoe UI"/>
        </w:rPr>
        <w:t xml:space="preserve"> </w:t>
      </w:r>
      <w:r>
        <w:rPr>
          <w:rFonts w:eastAsia="Segoe UI" w:cs="Arial"/>
          <w:b/>
        </w:rPr>
        <w:t xml:space="preserve">23 </w:t>
      </w:r>
      <w:r>
        <w:rPr>
          <w:rFonts w:eastAsia="Segoe UI" w:cs="Arial"/>
        </w:rPr>
        <w:t>But Si′hon did not allow Israel to pass through his territory. Instead, Si′hon gathered all his people and went out against Israel in the wilderness and came to Ja′haz and began fighting with Israel.</w:t>
      </w:r>
      <w:r w:rsidR="00334982">
        <w:rPr>
          <w:rStyle w:val="EndnoteReference"/>
          <w:rFonts w:eastAsia="Segoe UI" w:cs="Arial"/>
        </w:rPr>
        <w:endnoteReference w:id="24"/>
      </w:r>
      <w:r>
        <w:rPr>
          <w:rFonts w:ascii="MEPS Bookman WTS" w:eastAsia="Segoe UI" w:hAnsi="MEPS Bookman WTS" w:cs="Segoe UI"/>
        </w:rPr>
        <w:t xml:space="preserve"> </w:t>
      </w:r>
      <w:r>
        <w:rPr>
          <w:rFonts w:eastAsia="Segoe UI" w:cs="Arial"/>
          <w:b/>
        </w:rPr>
        <w:t xml:space="preserve">24 </w:t>
      </w:r>
      <w:r>
        <w:rPr>
          <w:rFonts w:eastAsia="Segoe UI" w:cs="Arial"/>
        </w:rPr>
        <w:t>But Israel defeated him with the sword</w:t>
      </w:r>
      <w:r w:rsidR="00334982">
        <w:rPr>
          <w:rStyle w:val="EndnoteReference"/>
          <w:rFonts w:eastAsia="Segoe UI" w:cs="Arial"/>
        </w:rPr>
        <w:endnoteReference w:id="25"/>
      </w:r>
      <w:r>
        <w:rPr>
          <w:rFonts w:eastAsia="Segoe UI" w:cs="Arial"/>
        </w:rPr>
        <w:t xml:space="preserve"> and took possession of his land</w:t>
      </w:r>
      <w:r w:rsidR="00334982">
        <w:rPr>
          <w:rStyle w:val="EndnoteReference"/>
          <w:rFonts w:eastAsia="Segoe UI" w:cs="Arial"/>
        </w:rPr>
        <w:endnoteReference w:id="26"/>
      </w:r>
      <w:r>
        <w:rPr>
          <w:rFonts w:eastAsia="Segoe UI" w:cs="Arial"/>
        </w:rPr>
        <w:t xml:space="preserve"> from the Ar′non</w:t>
      </w:r>
      <w:r w:rsidR="00334982">
        <w:rPr>
          <w:rStyle w:val="EndnoteReference"/>
          <w:rFonts w:eastAsia="Segoe UI" w:cs="Arial"/>
        </w:rPr>
        <w:endnoteReference w:id="27"/>
      </w:r>
      <w:r>
        <w:rPr>
          <w:rFonts w:eastAsia="Segoe UI" w:cs="Arial"/>
        </w:rPr>
        <w:t xml:space="preserve"> to the Jab′bok,</w:t>
      </w:r>
      <w:r w:rsidR="00334982">
        <w:rPr>
          <w:rStyle w:val="EndnoteReference"/>
          <w:rFonts w:eastAsia="Segoe UI" w:cs="Arial"/>
        </w:rPr>
        <w:endnoteReference w:id="28"/>
      </w:r>
      <w:r>
        <w:rPr>
          <w:rFonts w:eastAsia="Segoe UI" w:cs="Arial"/>
        </w:rPr>
        <w:t xml:space="preserve"> near the Am′mon·ites, because Ja′zer</w:t>
      </w:r>
      <w:r w:rsidR="00334982">
        <w:rPr>
          <w:rStyle w:val="EndnoteReference"/>
          <w:rFonts w:eastAsia="Segoe UI" w:cs="Arial"/>
        </w:rPr>
        <w:endnoteReference w:id="29"/>
      </w:r>
      <w:r>
        <w:rPr>
          <w:rFonts w:eastAsia="Segoe UI" w:cs="Arial"/>
        </w:rPr>
        <w:t xml:space="preserve"> borders the territory of the Am′mon·ites.</w:t>
      </w:r>
      <w:r w:rsidR="00334982">
        <w:rPr>
          <w:rStyle w:val="EndnoteReference"/>
          <w:rFonts w:eastAsia="Segoe UI" w:cs="Arial"/>
        </w:rPr>
        <w:endnoteReference w:id="30"/>
      </w:r>
    </w:p>
    <w:p w:rsidR="00FB6553" w:rsidRDefault="00FB6553" w:rsidP="00FB6553">
      <w:pPr>
        <w:rPr>
          <w:rFonts w:eastAsia="Segoe UI" w:cs="Arial"/>
        </w:rPr>
      </w:pPr>
      <w:r>
        <w:rPr>
          <w:rFonts w:eastAsia="Segoe UI" w:cs="Arial"/>
          <w:b/>
        </w:rPr>
        <w:t xml:space="preserve">25 </w:t>
      </w:r>
      <w:r>
        <w:rPr>
          <w:rFonts w:eastAsia="Segoe UI" w:cs="Arial"/>
        </w:rPr>
        <w:t>So Israel took all these cities, and they began dwelling in all the cities of the Am′or·ites,</w:t>
      </w:r>
      <w:r w:rsidR="00334982">
        <w:rPr>
          <w:rStyle w:val="EndnoteReference"/>
          <w:rFonts w:eastAsia="Segoe UI" w:cs="Arial"/>
        </w:rPr>
        <w:endnoteReference w:id="31"/>
      </w:r>
      <w:r>
        <w:rPr>
          <w:rFonts w:eastAsia="Segoe UI" w:cs="Arial"/>
        </w:rPr>
        <w:t xml:space="preserve"> in Hesh′bon and all its dependent</w:t>
      </w:r>
      <w:r w:rsidR="00334982">
        <w:rPr>
          <w:rStyle w:val="FootnoteReference"/>
          <w:rFonts w:eastAsia="Segoe UI" w:cs="Arial"/>
        </w:rPr>
        <w:footnoteReference w:id="14"/>
      </w:r>
      <w:r>
        <w:rPr>
          <w:rFonts w:eastAsia="Segoe UI" w:cs="Arial"/>
        </w:rPr>
        <w:t xml:space="preserve"> towns. </w:t>
      </w:r>
      <w:r>
        <w:rPr>
          <w:rFonts w:eastAsia="Segoe UI" w:cs="Arial"/>
          <w:b/>
        </w:rPr>
        <w:t xml:space="preserve">26 </w:t>
      </w:r>
      <w:r>
        <w:rPr>
          <w:rFonts w:eastAsia="Segoe UI" w:cs="Arial"/>
        </w:rPr>
        <w:t xml:space="preserve">For Hesh′bon was the city of Si′hon, the king of the Am′or·ites, who had fought with the king of Mo′ab and taken all his land from him as far as the Ar′non. </w:t>
      </w:r>
      <w:r>
        <w:rPr>
          <w:rFonts w:eastAsia="Segoe UI" w:cs="Arial"/>
          <w:b/>
        </w:rPr>
        <w:t xml:space="preserve">27 </w:t>
      </w:r>
      <w:r>
        <w:rPr>
          <w:rFonts w:eastAsia="Segoe UI" w:cs="Arial"/>
        </w:rPr>
        <w:t>That is what gave rise to the taunting proverbial saying:</w:t>
      </w:r>
    </w:p>
    <w:p w:rsidR="00FB6553" w:rsidRDefault="00FB6553" w:rsidP="00FB6553">
      <w:pPr>
        <w:rPr>
          <w:rFonts w:eastAsia="Segoe UI" w:cs="Arial"/>
        </w:rPr>
      </w:pPr>
      <w:r>
        <w:rPr>
          <w:rFonts w:eastAsia="Segoe UI" w:cs="Arial"/>
        </w:rPr>
        <w:t>“Come to Hesh′bon.</w:t>
      </w:r>
    </w:p>
    <w:p w:rsidR="00FB6553" w:rsidRDefault="00FB6553" w:rsidP="00FB6553">
      <w:pPr>
        <w:rPr>
          <w:rFonts w:eastAsia="Segoe UI" w:cs="Arial"/>
        </w:rPr>
      </w:pPr>
      <w:r>
        <w:rPr>
          <w:rFonts w:eastAsia="Segoe UI" w:cs="Arial"/>
        </w:rPr>
        <w:t>Let the city of Si′hon be built and firmly established.</w:t>
      </w:r>
    </w:p>
    <w:p w:rsidR="00FB6553" w:rsidRDefault="00FB6553" w:rsidP="00FB6553">
      <w:pPr>
        <w:rPr>
          <w:rFonts w:eastAsia="Segoe UI" w:cs="Arial"/>
        </w:rPr>
      </w:pPr>
      <w:r>
        <w:rPr>
          <w:rFonts w:eastAsia="Segoe UI" w:cs="Arial"/>
          <w:b/>
        </w:rPr>
        <w:t xml:space="preserve">28 </w:t>
      </w:r>
      <w:r>
        <w:rPr>
          <w:rFonts w:eastAsia="Segoe UI" w:cs="Arial"/>
        </w:rPr>
        <w:t>For a fire came out of Hesh′bon, a flame from the town of Si′hon.</w:t>
      </w:r>
    </w:p>
    <w:p w:rsidR="00FB6553" w:rsidRDefault="00FB6553" w:rsidP="00FB6553">
      <w:pPr>
        <w:rPr>
          <w:rFonts w:eastAsia="Segoe UI" w:cs="Arial"/>
        </w:rPr>
      </w:pPr>
      <w:r>
        <w:rPr>
          <w:rFonts w:eastAsia="Segoe UI" w:cs="Arial"/>
        </w:rPr>
        <w:t>It has consumed Ar of Mo′ab, the lords of the high places of the Ar′non.</w:t>
      </w:r>
    </w:p>
    <w:p w:rsidR="00FB6553" w:rsidRDefault="00FB6553" w:rsidP="00FB6553">
      <w:pPr>
        <w:rPr>
          <w:rFonts w:ascii="MEPS Bookman WTS" w:eastAsia="Segoe UI" w:hAnsi="MEPS Bookman WTS" w:cs="Segoe UI"/>
        </w:rPr>
      </w:pPr>
      <w:r>
        <w:rPr>
          <w:rFonts w:eastAsia="Segoe UI" w:cs="Arial"/>
          <w:b/>
        </w:rPr>
        <w:t xml:space="preserve">29 </w:t>
      </w:r>
      <w:r>
        <w:rPr>
          <w:rFonts w:eastAsia="Segoe UI" w:cs="Arial"/>
        </w:rPr>
        <w:t>Woe to you, Mo′ab! You will be destroyed, O people of Che′mosh!</w:t>
      </w:r>
      <w:r w:rsidR="00334982">
        <w:rPr>
          <w:rStyle w:val="EndnoteReference"/>
          <w:rFonts w:eastAsia="Segoe UI" w:cs="Arial"/>
        </w:rPr>
        <w:endnoteReference w:id="32"/>
      </w:r>
    </w:p>
    <w:p w:rsidR="00FB6553" w:rsidRDefault="00FB6553" w:rsidP="00FB6553">
      <w:pPr>
        <w:rPr>
          <w:rFonts w:eastAsia="Segoe UI" w:cs="Arial"/>
        </w:rPr>
      </w:pPr>
      <w:r>
        <w:rPr>
          <w:rFonts w:eastAsia="Segoe UI" w:cs="Arial"/>
        </w:rPr>
        <w:t>He makes his sons fugitives and his daughters captives of Si′hon, the king of the Am′or·ites.</w:t>
      </w:r>
    </w:p>
    <w:p w:rsidR="00FB6553" w:rsidRDefault="00FB6553" w:rsidP="00FB6553">
      <w:pPr>
        <w:rPr>
          <w:rFonts w:eastAsia="Segoe UI" w:cs="Arial"/>
        </w:rPr>
      </w:pPr>
      <w:r>
        <w:rPr>
          <w:rFonts w:eastAsia="Segoe UI" w:cs="Arial"/>
          <w:b/>
        </w:rPr>
        <w:t xml:space="preserve">30 </w:t>
      </w:r>
      <w:r>
        <w:rPr>
          <w:rFonts w:eastAsia="Segoe UI" w:cs="Arial"/>
        </w:rPr>
        <w:t>Let us shoot at them;</w:t>
      </w:r>
    </w:p>
    <w:p w:rsidR="00FB6553" w:rsidRDefault="00FB6553" w:rsidP="00FB6553">
      <w:pPr>
        <w:rPr>
          <w:rFonts w:ascii="MEPS Bookman WTS" w:eastAsia="Segoe UI" w:hAnsi="MEPS Bookman WTS" w:cs="Segoe UI"/>
        </w:rPr>
      </w:pPr>
      <w:r>
        <w:rPr>
          <w:rFonts w:eastAsia="Segoe UI" w:cs="Arial"/>
        </w:rPr>
        <w:t>Hesh′bon will be destroyed as far as Di′bon;</w:t>
      </w:r>
      <w:r w:rsidR="00334982">
        <w:rPr>
          <w:rStyle w:val="EndnoteReference"/>
          <w:rFonts w:eastAsia="Segoe UI" w:cs="Arial"/>
        </w:rPr>
        <w:endnoteReference w:id="33"/>
      </w:r>
    </w:p>
    <w:p w:rsidR="00FB6553" w:rsidRDefault="00FB6553" w:rsidP="00FB6553">
      <w:pPr>
        <w:rPr>
          <w:rFonts w:eastAsia="Segoe UI" w:cs="Arial"/>
        </w:rPr>
      </w:pPr>
      <w:r>
        <w:rPr>
          <w:rFonts w:eastAsia="Segoe UI" w:cs="Arial"/>
        </w:rPr>
        <w:t>Let us desolate it as far as No′phah;</w:t>
      </w:r>
    </w:p>
    <w:p w:rsidR="00FB6553" w:rsidRDefault="00FB6553" w:rsidP="00FB6553">
      <w:pPr>
        <w:rPr>
          <w:rFonts w:ascii="MEPS Bookman WTS" w:eastAsia="Segoe UI" w:hAnsi="MEPS Bookman WTS" w:cs="Segoe UI"/>
        </w:rPr>
      </w:pPr>
      <w:r>
        <w:rPr>
          <w:rFonts w:eastAsia="Segoe UI" w:cs="Arial"/>
        </w:rPr>
        <w:t>Fire will spread as far as Med′e·ba.”</w:t>
      </w:r>
      <w:r w:rsidR="00334982">
        <w:rPr>
          <w:rStyle w:val="EndnoteReference"/>
          <w:rFonts w:eastAsia="Segoe UI" w:cs="Arial"/>
        </w:rPr>
        <w:endnoteReference w:id="34"/>
      </w:r>
    </w:p>
    <w:p w:rsidR="00FB6553" w:rsidRDefault="00FB6553" w:rsidP="00FB6553">
      <w:pPr>
        <w:rPr>
          <w:rFonts w:ascii="MEPS Bookman WTS" w:eastAsia="Segoe UI" w:hAnsi="MEPS Bookman WTS" w:cs="Segoe UI"/>
        </w:rPr>
      </w:pPr>
      <w:r>
        <w:rPr>
          <w:rFonts w:eastAsia="Segoe UI" w:cs="Arial"/>
          <w:b/>
        </w:rPr>
        <w:t xml:space="preserve">31 </w:t>
      </w:r>
      <w:r>
        <w:rPr>
          <w:rFonts w:eastAsia="Segoe UI" w:cs="Arial"/>
        </w:rPr>
        <w:t xml:space="preserve">So Israel began to dwell in the land of the Am′or·ites. </w:t>
      </w:r>
      <w:r>
        <w:rPr>
          <w:rFonts w:eastAsia="Segoe UI" w:cs="Arial"/>
          <w:b/>
        </w:rPr>
        <w:t xml:space="preserve">32 </w:t>
      </w:r>
      <w:r>
        <w:rPr>
          <w:rFonts w:eastAsia="Segoe UI" w:cs="Arial"/>
        </w:rPr>
        <w:t>Moses then sent some men to spy on Ja′zer.</w:t>
      </w:r>
      <w:r w:rsidR="00334982">
        <w:rPr>
          <w:rStyle w:val="EndnoteReference"/>
          <w:rFonts w:eastAsia="Segoe UI" w:cs="Arial"/>
        </w:rPr>
        <w:endnoteReference w:id="35"/>
      </w:r>
      <w:r>
        <w:rPr>
          <w:rFonts w:eastAsia="Segoe UI" w:cs="Arial"/>
        </w:rPr>
        <w:t xml:space="preserve"> They captured its dependent</w:t>
      </w:r>
      <w:r w:rsidR="00334982">
        <w:rPr>
          <w:rStyle w:val="FootnoteReference"/>
          <w:rFonts w:eastAsia="Segoe UI" w:cs="Arial"/>
        </w:rPr>
        <w:footnoteReference w:id="15"/>
      </w:r>
      <w:r>
        <w:rPr>
          <w:rFonts w:eastAsia="Segoe UI" w:cs="Arial"/>
        </w:rPr>
        <w:t xml:space="preserve"> towns and drove out the Am′or·ites who were there. </w:t>
      </w:r>
      <w:r>
        <w:rPr>
          <w:rFonts w:eastAsia="Segoe UI" w:cs="Arial"/>
          <w:b/>
        </w:rPr>
        <w:t xml:space="preserve">33 </w:t>
      </w:r>
      <w:r>
        <w:rPr>
          <w:rFonts w:eastAsia="Segoe UI" w:cs="Arial"/>
        </w:rPr>
        <w:t>After that they turned and went up by way of Ba′shan. And Og</w:t>
      </w:r>
      <w:r w:rsidR="00334982">
        <w:rPr>
          <w:rStyle w:val="EndnoteReference"/>
          <w:rFonts w:eastAsia="Segoe UI" w:cs="Arial"/>
        </w:rPr>
        <w:endnoteReference w:id="36"/>
      </w:r>
      <w:r>
        <w:rPr>
          <w:rFonts w:eastAsia="Segoe UI" w:cs="Arial"/>
        </w:rPr>
        <w:t xml:space="preserve"> the king of Ba′shan came out with all his people to meet them in battle at Ed′re·i.</w:t>
      </w:r>
      <w:r w:rsidR="00334982">
        <w:rPr>
          <w:rStyle w:val="EndnoteReference"/>
          <w:rFonts w:eastAsia="Segoe UI" w:cs="Arial"/>
        </w:rPr>
        <w:endnoteReference w:id="37"/>
      </w:r>
      <w:r>
        <w:rPr>
          <w:rFonts w:ascii="MEPS Bookman WTS" w:eastAsia="Segoe UI" w:hAnsi="MEPS Bookman WTS" w:cs="Segoe UI"/>
        </w:rPr>
        <w:t xml:space="preserve"> </w:t>
      </w:r>
      <w:r>
        <w:rPr>
          <w:rFonts w:eastAsia="Segoe UI" w:cs="Arial"/>
          <w:b/>
        </w:rPr>
        <w:t xml:space="preserve">34 </w:t>
      </w:r>
      <w:r>
        <w:rPr>
          <w:rFonts w:eastAsia="Segoe UI" w:cs="Arial"/>
        </w:rPr>
        <w:t>Jehovah said to Moses: “Do not be afraid of him,</w:t>
      </w:r>
      <w:r w:rsidR="00334982">
        <w:rPr>
          <w:rStyle w:val="EndnoteReference"/>
          <w:rFonts w:eastAsia="Segoe UI" w:cs="Arial"/>
        </w:rPr>
        <w:endnoteReference w:id="38"/>
      </w:r>
      <w:r>
        <w:rPr>
          <w:rFonts w:eastAsia="Segoe UI" w:cs="Arial"/>
        </w:rPr>
        <w:t xml:space="preserve"> for I will give him and all his people and his land into your hand,</w:t>
      </w:r>
      <w:r w:rsidR="00334982">
        <w:rPr>
          <w:rStyle w:val="EndnoteReference"/>
          <w:rFonts w:eastAsia="Segoe UI" w:cs="Arial"/>
        </w:rPr>
        <w:endnoteReference w:id="39"/>
      </w:r>
      <w:r>
        <w:rPr>
          <w:rFonts w:eastAsia="Segoe UI" w:cs="Arial"/>
        </w:rPr>
        <w:t xml:space="preserve"> and you will do to him just as you did to Si′hon the king of the Am′or·ites, who lived in Hesh′bon.”</w:t>
      </w:r>
      <w:r w:rsidR="00334982">
        <w:rPr>
          <w:rStyle w:val="EndnoteReference"/>
          <w:rFonts w:eastAsia="Segoe UI" w:cs="Arial"/>
        </w:rPr>
        <w:endnoteReference w:id="40"/>
      </w:r>
      <w:r>
        <w:rPr>
          <w:rFonts w:ascii="MEPS Bookman WTS" w:eastAsia="Segoe UI" w:hAnsi="MEPS Bookman WTS" w:cs="Segoe UI"/>
        </w:rPr>
        <w:t xml:space="preserve"> </w:t>
      </w:r>
      <w:r>
        <w:rPr>
          <w:rFonts w:eastAsia="Segoe UI" w:cs="Arial"/>
          <w:b/>
        </w:rPr>
        <w:t xml:space="preserve">35 </w:t>
      </w:r>
      <w:r>
        <w:rPr>
          <w:rFonts w:eastAsia="Segoe UI" w:cs="Arial"/>
        </w:rPr>
        <w:t>So they kept striking him down, along with his sons and all his people, until none of his people survived,</w:t>
      </w:r>
      <w:r w:rsidR="00334982">
        <w:rPr>
          <w:rStyle w:val="EndnoteReference"/>
          <w:rFonts w:eastAsia="Segoe UI" w:cs="Arial"/>
        </w:rPr>
        <w:endnoteReference w:id="41"/>
      </w:r>
      <w:r>
        <w:rPr>
          <w:rFonts w:eastAsia="Segoe UI" w:cs="Arial"/>
        </w:rPr>
        <w:t xml:space="preserve"> and they took possession of his land.</w:t>
      </w:r>
      <w:r w:rsidR="00334982">
        <w:rPr>
          <w:rStyle w:val="EndnoteReference"/>
          <w:rFonts w:eastAsia="Segoe UI" w:cs="Arial"/>
        </w:rPr>
        <w:endnoteReference w:id="42"/>
      </w:r>
    </w:p>
    <w:p w:rsidR="00762BCB" w:rsidRPr="00FB6553" w:rsidRDefault="00762BCB" w:rsidP="00FB6553"/>
    <w:sectPr w:rsidR="00762BCB" w:rsidRPr="00FB6553"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46E4" w:rsidRDefault="00B546E4">
      <w:r>
        <w:separator/>
      </w:r>
    </w:p>
  </w:endnote>
  <w:endnote w:type="continuationSeparator" w:id="0">
    <w:p w:rsidR="00B546E4" w:rsidRDefault="00B546E4">
      <w:r>
        <w:continuationSeparator/>
      </w:r>
    </w:p>
  </w:endnote>
  <w:endnote w:id="1">
    <w:p w:rsidR="00334982" w:rsidRDefault="00334982">
      <w:pPr>
        <w:pStyle w:val="EndnoteText"/>
      </w:pPr>
      <w:r>
        <w:rPr>
          <w:rStyle w:val="EndnoteReference"/>
        </w:rPr>
        <w:endnoteRef/>
      </w:r>
      <w:r>
        <w:t xml:space="preserve"> Numbers 33:40; Joshua 12:7, 14</w:t>
      </w:r>
    </w:p>
  </w:endnote>
  <w:endnote w:id="2">
    <w:p w:rsidR="00334982" w:rsidRDefault="00334982">
      <w:pPr>
        <w:pStyle w:val="EndnoteText"/>
      </w:pPr>
      <w:r>
        <w:rPr>
          <w:rStyle w:val="EndnoteReference"/>
        </w:rPr>
        <w:endnoteRef/>
      </w:r>
      <w:r>
        <w:t xml:space="preserve"> Numbers 14:45</w:t>
      </w:r>
    </w:p>
  </w:endnote>
  <w:endnote w:id="3">
    <w:p w:rsidR="00334982" w:rsidRDefault="00334982">
      <w:pPr>
        <w:pStyle w:val="EndnoteText"/>
      </w:pPr>
      <w:r>
        <w:rPr>
          <w:rStyle w:val="EndnoteReference"/>
        </w:rPr>
        <w:endnoteRef/>
      </w:r>
      <w:r>
        <w:t xml:space="preserve"> Numbers 33:41</w:t>
      </w:r>
    </w:p>
  </w:endnote>
  <w:endnote w:id="4">
    <w:p w:rsidR="00334982" w:rsidRDefault="00334982">
      <w:pPr>
        <w:pStyle w:val="EndnoteText"/>
      </w:pPr>
      <w:r>
        <w:rPr>
          <w:rStyle w:val="EndnoteReference"/>
        </w:rPr>
        <w:endnoteRef/>
      </w:r>
      <w:r>
        <w:t xml:space="preserve"> Numbers 20:21; Deuteronomy 2:8; Judges 11:18</w:t>
      </w:r>
    </w:p>
  </w:endnote>
  <w:endnote w:id="5">
    <w:p w:rsidR="00334982" w:rsidRDefault="00334982">
      <w:pPr>
        <w:pStyle w:val="EndnoteText"/>
      </w:pPr>
      <w:r>
        <w:rPr>
          <w:rStyle w:val="EndnoteReference"/>
        </w:rPr>
        <w:endnoteRef/>
      </w:r>
      <w:r>
        <w:t xml:space="preserve"> Exodus 14:11; 15:24; Numbers 16:13</w:t>
      </w:r>
    </w:p>
  </w:endnote>
  <w:endnote w:id="6">
    <w:p w:rsidR="00334982" w:rsidRDefault="00334982">
      <w:pPr>
        <w:pStyle w:val="EndnoteText"/>
      </w:pPr>
      <w:r>
        <w:rPr>
          <w:rStyle w:val="EndnoteReference"/>
        </w:rPr>
        <w:endnoteRef/>
      </w:r>
      <w:r>
        <w:t xml:space="preserve"> Numbers 20:5</w:t>
      </w:r>
    </w:p>
  </w:endnote>
  <w:endnote w:id="7">
    <w:p w:rsidR="00334982" w:rsidRDefault="00334982">
      <w:pPr>
        <w:pStyle w:val="EndnoteText"/>
      </w:pPr>
      <w:r>
        <w:rPr>
          <w:rStyle w:val="EndnoteReference"/>
        </w:rPr>
        <w:endnoteRef/>
      </w:r>
      <w:r>
        <w:t xml:space="preserve"> Exodus 16:15; Numbers 11:6; Psalms 78:24, 25</w:t>
      </w:r>
    </w:p>
  </w:endnote>
  <w:endnote w:id="8">
    <w:p w:rsidR="00334982" w:rsidRDefault="00334982">
      <w:pPr>
        <w:pStyle w:val="EndnoteText"/>
      </w:pPr>
      <w:r>
        <w:rPr>
          <w:rStyle w:val="EndnoteReference"/>
        </w:rPr>
        <w:endnoteRef/>
      </w:r>
      <w:r>
        <w:t xml:space="preserve"> 1 Corinthians 10:6, 9</w:t>
      </w:r>
    </w:p>
  </w:endnote>
  <w:endnote w:id="9">
    <w:p w:rsidR="00334982" w:rsidRDefault="00334982">
      <w:pPr>
        <w:pStyle w:val="EndnoteText"/>
      </w:pPr>
      <w:r>
        <w:rPr>
          <w:rStyle w:val="EndnoteReference"/>
        </w:rPr>
        <w:endnoteRef/>
      </w:r>
      <w:r>
        <w:t xml:space="preserve"> Psalms 78:34</w:t>
      </w:r>
    </w:p>
  </w:endnote>
  <w:endnote w:id="10">
    <w:p w:rsidR="00334982" w:rsidRDefault="00334982">
      <w:pPr>
        <w:pStyle w:val="EndnoteText"/>
      </w:pPr>
      <w:r>
        <w:rPr>
          <w:rStyle w:val="EndnoteReference"/>
        </w:rPr>
        <w:endnoteRef/>
      </w:r>
      <w:r>
        <w:t xml:space="preserve"> Exodus 32:11</w:t>
      </w:r>
    </w:p>
  </w:endnote>
  <w:endnote w:id="11">
    <w:p w:rsidR="00334982" w:rsidRDefault="00334982">
      <w:pPr>
        <w:pStyle w:val="EndnoteText"/>
      </w:pPr>
      <w:r>
        <w:rPr>
          <w:rStyle w:val="EndnoteReference"/>
        </w:rPr>
        <w:endnoteRef/>
      </w:r>
      <w:r>
        <w:t xml:space="preserve"> 2 Kings 18:1, 4</w:t>
      </w:r>
    </w:p>
  </w:endnote>
  <w:endnote w:id="12">
    <w:p w:rsidR="00334982" w:rsidRDefault="00334982">
      <w:pPr>
        <w:pStyle w:val="EndnoteText"/>
      </w:pPr>
      <w:r>
        <w:rPr>
          <w:rStyle w:val="EndnoteReference"/>
        </w:rPr>
        <w:endnoteRef/>
      </w:r>
      <w:r>
        <w:t xml:space="preserve"> John 3:14, 15</w:t>
      </w:r>
    </w:p>
  </w:endnote>
  <w:endnote w:id="13">
    <w:p w:rsidR="00334982" w:rsidRDefault="00334982">
      <w:pPr>
        <w:pStyle w:val="EndnoteText"/>
      </w:pPr>
      <w:r>
        <w:rPr>
          <w:rStyle w:val="EndnoteReference"/>
        </w:rPr>
        <w:endnoteRef/>
      </w:r>
      <w:r>
        <w:t xml:space="preserve"> John 6:40</w:t>
      </w:r>
    </w:p>
  </w:endnote>
  <w:endnote w:id="14">
    <w:p w:rsidR="00334982" w:rsidRDefault="00334982">
      <w:pPr>
        <w:pStyle w:val="EndnoteText"/>
      </w:pPr>
      <w:r>
        <w:rPr>
          <w:rStyle w:val="EndnoteReference"/>
        </w:rPr>
        <w:endnoteRef/>
      </w:r>
      <w:r>
        <w:t xml:space="preserve"> Numbers 33:43</w:t>
      </w:r>
    </w:p>
  </w:endnote>
  <w:endnote w:id="15">
    <w:p w:rsidR="00334982" w:rsidRDefault="00334982">
      <w:pPr>
        <w:pStyle w:val="EndnoteText"/>
      </w:pPr>
      <w:r>
        <w:rPr>
          <w:rStyle w:val="EndnoteReference"/>
        </w:rPr>
        <w:endnoteRef/>
      </w:r>
      <w:r>
        <w:t xml:space="preserve"> Numbers 33:44</w:t>
      </w:r>
    </w:p>
  </w:endnote>
  <w:endnote w:id="16">
    <w:p w:rsidR="00334982" w:rsidRDefault="00334982">
      <w:pPr>
        <w:pStyle w:val="EndnoteText"/>
      </w:pPr>
      <w:r>
        <w:rPr>
          <w:rStyle w:val="EndnoteReference"/>
        </w:rPr>
        <w:endnoteRef/>
      </w:r>
      <w:r>
        <w:t xml:space="preserve"> Deuteronomy 2:13</w:t>
      </w:r>
    </w:p>
  </w:endnote>
  <w:endnote w:id="17">
    <w:p w:rsidR="00334982" w:rsidRDefault="00334982">
      <w:pPr>
        <w:pStyle w:val="EndnoteText"/>
      </w:pPr>
      <w:r>
        <w:rPr>
          <w:rStyle w:val="EndnoteReference"/>
        </w:rPr>
        <w:endnoteRef/>
      </w:r>
      <w:r>
        <w:t xml:space="preserve"> Numbers 22:36; Judges 11:18</w:t>
      </w:r>
    </w:p>
  </w:endnote>
  <w:endnote w:id="18">
    <w:p w:rsidR="00334982" w:rsidRDefault="00334982">
      <w:pPr>
        <w:pStyle w:val="EndnoteText"/>
      </w:pPr>
      <w:r>
        <w:rPr>
          <w:rStyle w:val="EndnoteReference"/>
        </w:rPr>
        <w:endnoteRef/>
      </w:r>
      <w:r>
        <w:t xml:space="preserve"> Joshua 13:15, 17</w:t>
      </w:r>
    </w:p>
  </w:endnote>
  <w:endnote w:id="19">
    <w:p w:rsidR="00334982" w:rsidRDefault="00334982">
      <w:pPr>
        <w:pStyle w:val="EndnoteText"/>
      </w:pPr>
      <w:r>
        <w:rPr>
          <w:rStyle w:val="EndnoteReference"/>
        </w:rPr>
        <w:endnoteRef/>
      </w:r>
      <w:r>
        <w:t xml:space="preserve"> Numbers 33:49</w:t>
      </w:r>
    </w:p>
  </w:endnote>
  <w:endnote w:id="20">
    <w:p w:rsidR="00334982" w:rsidRDefault="00334982">
      <w:pPr>
        <w:pStyle w:val="EndnoteText"/>
      </w:pPr>
      <w:r>
        <w:rPr>
          <w:rStyle w:val="EndnoteReference"/>
        </w:rPr>
        <w:endnoteRef/>
      </w:r>
      <w:r>
        <w:t xml:space="preserve"> Deuteronomy 3:27; 34:1</w:t>
      </w:r>
    </w:p>
  </w:endnote>
  <w:endnote w:id="21">
    <w:p w:rsidR="00334982" w:rsidRDefault="00334982">
      <w:pPr>
        <w:pStyle w:val="EndnoteText"/>
      </w:pPr>
      <w:r>
        <w:rPr>
          <w:rStyle w:val="EndnoteReference"/>
        </w:rPr>
        <w:endnoteRef/>
      </w:r>
      <w:r>
        <w:t xml:space="preserve"> Numbers 23:28</w:t>
      </w:r>
    </w:p>
  </w:endnote>
  <w:endnote w:id="22">
    <w:p w:rsidR="00334982" w:rsidRDefault="00334982">
      <w:pPr>
        <w:pStyle w:val="EndnoteText"/>
      </w:pPr>
      <w:r>
        <w:rPr>
          <w:rStyle w:val="EndnoteReference"/>
        </w:rPr>
        <w:endnoteRef/>
      </w:r>
      <w:r>
        <w:t xml:space="preserve"> Deuteronomy 2:26-28</w:t>
      </w:r>
    </w:p>
  </w:endnote>
  <w:endnote w:id="23">
    <w:p w:rsidR="00334982" w:rsidRDefault="00334982">
      <w:pPr>
        <w:pStyle w:val="EndnoteText"/>
      </w:pPr>
      <w:r>
        <w:rPr>
          <w:rStyle w:val="EndnoteReference"/>
        </w:rPr>
        <w:endnoteRef/>
      </w:r>
      <w:r>
        <w:t xml:space="preserve"> Numbers 20:14, 17</w:t>
      </w:r>
    </w:p>
  </w:endnote>
  <w:endnote w:id="24">
    <w:p w:rsidR="00334982" w:rsidRDefault="00334982">
      <w:pPr>
        <w:pStyle w:val="EndnoteText"/>
      </w:pPr>
      <w:r>
        <w:rPr>
          <w:rStyle w:val="EndnoteReference"/>
        </w:rPr>
        <w:endnoteRef/>
      </w:r>
      <w:r>
        <w:t xml:space="preserve"> Deuteronomy 2:30-35; 29:7; Judges 11:19, 20</w:t>
      </w:r>
    </w:p>
  </w:endnote>
  <w:endnote w:id="25">
    <w:p w:rsidR="00334982" w:rsidRDefault="00334982">
      <w:pPr>
        <w:pStyle w:val="EndnoteText"/>
      </w:pPr>
      <w:r>
        <w:rPr>
          <w:rStyle w:val="EndnoteReference"/>
        </w:rPr>
        <w:endnoteRef/>
      </w:r>
      <w:r>
        <w:t xml:space="preserve"> Psalms 135:10, 11</w:t>
      </w:r>
    </w:p>
  </w:endnote>
  <w:endnote w:id="26">
    <w:p w:rsidR="00334982" w:rsidRDefault="00334982">
      <w:pPr>
        <w:pStyle w:val="EndnoteText"/>
      </w:pPr>
      <w:r>
        <w:rPr>
          <w:rStyle w:val="EndnoteReference"/>
        </w:rPr>
        <w:endnoteRef/>
      </w:r>
      <w:r>
        <w:t xml:space="preserve"> Numbers 32:33; Nehemiah 9:22</w:t>
      </w:r>
    </w:p>
  </w:endnote>
  <w:endnote w:id="27">
    <w:p w:rsidR="00334982" w:rsidRDefault="00334982">
      <w:pPr>
        <w:pStyle w:val="EndnoteText"/>
      </w:pPr>
      <w:r>
        <w:rPr>
          <w:rStyle w:val="EndnoteReference"/>
        </w:rPr>
        <w:endnoteRef/>
      </w:r>
      <w:r>
        <w:t xml:space="preserve"> Numbers 21:13; Deuteronomy 3:16</w:t>
      </w:r>
    </w:p>
  </w:endnote>
  <w:endnote w:id="28">
    <w:p w:rsidR="00334982" w:rsidRDefault="00334982">
      <w:pPr>
        <w:pStyle w:val="EndnoteText"/>
      </w:pPr>
      <w:r>
        <w:rPr>
          <w:rStyle w:val="EndnoteReference"/>
        </w:rPr>
        <w:endnoteRef/>
      </w:r>
      <w:r>
        <w:t xml:space="preserve"> Judges 11:21, 22</w:t>
      </w:r>
    </w:p>
  </w:endnote>
  <w:endnote w:id="29">
    <w:p w:rsidR="00334982" w:rsidRDefault="00334982">
      <w:pPr>
        <w:pStyle w:val="EndnoteText"/>
      </w:pPr>
      <w:r>
        <w:rPr>
          <w:rStyle w:val="EndnoteReference"/>
        </w:rPr>
        <w:endnoteRef/>
      </w:r>
      <w:r>
        <w:t xml:space="preserve"> Numbers 32:1; 1 Chronicles 6:77, 81</w:t>
      </w:r>
    </w:p>
  </w:endnote>
  <w:endnote w:id="30">
    <w:p w:rsidR="00334982" w:rsidRDefault="00334982">
      <w:pPr>
        <w:pStyle w:val="EndnoteText"/>
      </w:pPr>
      <w:r>
        <w:rPr>
          <w:rStyle w:val="EndnoteReference"/>
        </w:rPr>
        <w:endnoteRef/>
      </w:r>
      <w:r>
        <w:t xml:space="preserve"> Joshua 12:1, 2</w:t>
      </w:r>
    </w:p>
  </w:endnote>
  <w:endnote w:id="31">
    <w:p w:rsidR="00334982" w:rsidRDefault="00334982">
      <w:pPr>
        <w:pStyle w:val="EndnoteText"/>
      </w:pPr>
      <w:r>
        <w:rPr>
          <w:rStyle w:val="EndnoteReference"/>
        </w:rPr>
        <w:endnoteRef/>
      </w:r>
      <w:r>
        <w:t xml:space="preserve"> Genesis 10:15, 16; 15:16; Exodus 3:8; Deuteronomy 7:1</w:t>
      </w:r>
    </w:p>
  </w:endnote>
  <w:endnote w:id="32">
    <w:p w:rsidR="00334982" w:rsidRDefault="00334982">
      <w:pPr>
        <w:pStyle w:val="EndnoteText"/>
      </w:pPr>
      <w:r>
        <w:rPr>
          <w:rStyle w:val="EndnoteReference"/>
        </w:rPr>
        <w:endnoteRef/>
      </w:r>
      <w:r>
        <w:t xml:space="preserve"> Judges 11:23, 24; 1 Kings 11:7; 2 Kings 23:13</w:t>
      </w:r>
    </w:p>
  </w:endnote>
  <w:endnote w:id="33">
    <w:p w:rsidR="00334982" w:rsidRDefault="00334982">
      <w:pPr>
        <w:pStyle w:val="EndnoteText"/>
      </w:pPr>
      <w:r>
        <w:rPr>
          <w:rStyle w:val="EndnoteReference"/>
        </w:rPr>
        <w:endnoteRef/>
      </w:r>
      <w:r>
        <w:t xml:space="preserve"> Joshua 13:15, 17</w:t>
      </w:r>
    </w:p>
  </w:endnote>
  <w:endnote w:id="34">
    <w:p w:rsidR="00334982" w:rsidRDefault="00334982">
      <w:pPr>
        <w:pStyle w:val="EndnoteText"/>
      </w:pPr>
      <w:r>
        <w:rPr>
          <w:rStyle w:val="EndnoteReference"/>
        </w:rPr>
        <w:endnoteRef/>
      </w:r>
      <w:r>
        <w:t xml:space="preserve"> Joshua 13:8, 9</w:t>
      </w:r>
    </w:p>
  </w:endnote>
  <w:endnote w:id="35">
    <w:p w:rsidR="00334982" w:rsidRDefault="00334982">
      <w:pPr>
        <w:pStyle w:val="EndnoteText"/>
      </w:pPr>
      <w:r>
        <w:rPr>
          <w:rStyle w:val="EndnoteReference"/>
        </w:rPr>
        <w:endnoteRef/>
      </w:r>
      <w:r>
        <w:t xml:space="preserve"> Numbers 32:1</w:t>
      </w:r>
    </w:p>
  </w:endnote>
  <w:endnote w:id="36">
    <w:p w:rsidR="00334982" w:rsidRDefault="00334982">
      <w:pPr>
        <w:pStyle w:val="EndnoteText"/>
      </w:pPr>
      <w:r>
        <w:rPr>
          <w:rStyle w:val="EndnoteReference"/>
        </w:rPr>
        <w:endnoteRef/>
      </w:r>
      <w:r>
        <w:t xml:space="preserve"> Deuteronomy 3:11; 4:47; Joshua 13:8, 12</w:t>
      </w:r>
    </w:p>
  </w:endnote>
  <w:endnote w:id="37">
    <w:p w:rsidR="00334982" w:rsidRDefault="00334982">
      <w:pPr>
        <w:pStyle w:val="EndnoteText"/>
      </w:pPr>
      <w:r>
        <w:rPr>
          <w:rStyle w:val="EndnoteReference"/>
        </w:rPr>
        <w:endnoteRef/>
      </w:r>
      <w:r>
        <w:t xml:space="preserve"> Deuteronomy 3:1, 8, 10</w:t>
      </w:r>
    </w:p>
  </w:endnote>
  <w:endnote w:id="38">
    <w:p w:rsidR="00334982" w:rsidRDefault="00334982">
      <w:pPr>
        <w:pStyle w:val="EndnoteText"/>
      </w:pPr>
      <w:r>
        <w:rPr>
          <w:rStyle w:val="EndnoteReference"/>
        </w:rPr>
        <w:endnoteRef/>
      </w:r>
      <w:r>
        <w:t xml:space="preserve"> Deuteronomy 20:3</w:t>
      </w:r>
    </w:p>
  </w:endnote>
  <w:endnote w:id="39">
    <w:p w:rsidR="00334982" w:rsidRDefault="00334982">
      <w:pPr>
        <w:pStyle w:val="EndnoteText"/>
      </w:pPr>
      <w:r>
        <w:rPr>
          <w:rStyle w:val="EndnoteReference"/>
        </w:rPr>
        <w:endnoteRef/>
      </w:r>
      <w:r>
        <w:t xml:space="preserve"> Exodus 23:27; Deuteronomy 7:24</w:t>
      </w:r>
    </w:p>
  </w:endnote>
  <w:endnote w:id="40">
    <w:p w:rsidR="00334982" w:rsidRDefault="00334982">
      <w:pPr>
        <w:pStyle w:val="EndnoteText"/>
      </w:pPr>
      <w:r>
        <w:rPr>
          <w:rStyle w:val="EndnoteReference"/>
        </w:rPr>
        <w:endnoteRef/>
      </w:r>
      <w:r>
        <w:t xml:space="preserve"> Deuteronomy 3:2; Psalms 135:10, 11</w:t>
      </w:r>
    </w:p>
  </w:endnote>
  <w:endnote w:id="41">
    <w:p w:rsidR="00334982" w:rsidRDefault="00334982">
      <w:pPr>
        <w:pStyle w:val="EndnoteText"/>
      </w:pPr>
      <w:r>
        <w:rPr>
          <w:rStyle w:val="EndnoteReference"/>
        </w:rPr>
        <w:endnoteRef/>
      </w:r>
      <w:r>
        <w:t xml:space="preserve"> Deuteronomy 3:3</w:t>
      </w:r>
    </w:p>
  </w:endnote>
  <w:endnote w:id="42">
    <w:p w:rsidR="00334982" w:rsidRDefault="00334982">
      <w:pPr>
        <w:pStyle w:val="EndnoteText"/>
      </w:pPr>
      <w:r>
        <w:rPr>
          <w:rStyle w:val="EndnoteReference"/>
        </w:rPr>
        <w:endnoteRef/>
      </w:r>
      <w:r>
        <w:t xml:space="preserve"> Joshua 12:4-6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46E4" w:rsidRDefault="00B546E4">
      <w:r>
        <w:separator/>
      </w:r>
    </w:p>
  </w:footnote>
  <w:footnote w:type="continuationSeparator" w:id="0">
    <w:p w:rsidR="00B546E4" w:rsidRDefault="00B546E4">
      <w:r>
        <w:continuationSeparator/>
      </w:r>
    </w:p>
  </w:footnote>
  <w:footnote w:id="1">
    <w:p w:rsidR="00334982" w:rsidRDefault="00334982">
      <w:pPr>
        <w:pStyle w:val="FootnoteText"/>
      </w:pPr>
      <w:r>
        <w:rPr>
          <w:rStyle w:val="FootnoteReference"/>
        </w:rPr>
        <w:footnoteRef/>
      </w:r>
      <w:r>
        <w:t xml:space="preserve"> </w:t>
      </w:r>
      <w:r>
        <w:t>Meaning “A Devoting to Destruction.”</w:t>
      </w:r>
    </w:p>
  </w:footnote>
  <w:footnote w:id="2">
    <w:p w:rsidR="00334982" w:rsidRDefault="00334982">
      <w:pPr>
        <w:pStyle w:val="FootnoteText"/>
      </w:pPr>
      <w:r>
        <w:rPr>
          <w:rStyle w:val="FootnoteReference"/>
        </w:rPr>
        <w:footnoteRef/>
      </w:r>
      <w:r>
        <w:t xml:space="preserve"> </w:t>
      </w:r>
      <w:r>
        <w:t>Or “the soul of the people.”</w:t>
      </w:r>
    </w:p>
  </w:footnote>
  <w:footnote w:id="3">
    <w:p w:rsidR="00334982" w:rsidRDefault="00334982">
      <w:pPr>
        <w:pStyle w:val="FootnoteText"/>
      </w:pPr>
      <w:r>
        <w:rPr>
          <w:rStyle w:val="FootnoteReference"/>
        </w:rPr>
        <w:footnoteRef/>
      </w:r>
      <w:r>
        <w:t xml:space="preserve"> </w:t>
      </w:r>
      <w:r>
        <w:t>Or “our souls.”</w:t>
      </w:r>
    </w:p>
  </w:footnote>
  <w:footnote w:id="4">
    <w:p w:rsidR="00334982" w:rsidRDefault="00334982">
      <w:pPr>
        <w:pStyle w:val="FootnoteText"/>
      </w:pPr>
      <w:r>
        <w:rPr>
          <w:rStyle w:val="FootnoteReference"/>
        </w:rPr>
        <w:footnoteRef/>
      </w:r>
      <w:r>
        <w:t xml:space="preserve"> </w:t>
      </w:r>
      <w:r>
        <w:t>Or “abhor.”</w:t>
      </w:r>
    </w:p>
  </w:footnote>
  <w:footnote w:id="5">
    <w:p w:rsidR="00334982" w:rsidRDefault="00334982">
      <w:pPr>
        <w:pStyle w:val="FootnoteText"/>
      </w:pPr>
      <w:r>
        <w:rPr>
          <w:rStyle w:val="FootnoteReference"/>
        </w:rPr>
        <w:footnoteRef/>
      </w:r>
      <w:r>
        <w:t xml:space="preserve"> </w:t>
      </w:r>
      <w:r>
        <w:t>Or “fiery.”</w:t>
      </w:r>
    </w:p>
  </w:footnote>
  <w:footnote w:id="6">
    <w:p w:rsidR="00334982" w:rsidRDefault="00334982">
      <w:pPr>
        <w:pStyle w:val="FootnoteText"/>
      </w:pPr>
      <w:r>
        <w:rPr>
          <w:rStyle w:val="FootnoteReference"/>
        </w:rPr>
        <w:footnoteRef/>
      </w:r>
      <w:r>
        <w:t xml:space="preserve"> </w:t>
      </w:r>
      <w:r>
        <w:t>Or “fiery.”</w:t>
      </w:r>
    </w:p>
  </w:footnote>
  <w:footnote w:id="7">
    <w:p w:rsidR="00334982" w:rsidRDefault="00334982">
      <w:pPr>
        <w:pStyle w:val="FootnoteText"/>
      </w:pPr>
      <w:r>
        <w:rPr>
          <w:rStyle w:val="FootnoteReference"/>
        </w:rPr>
        <w:footnoteRef/>
      </w:r>
      <w:r>
        <w:t xml:space="preserve"> </w:t>
      </w:r>
      <w:r>
        <w:t>Or “Wadi.”</w:t>
      </w:r>
    </w:p>
  </w:footnote>
  <w:footnote w:id="8">
    <w:p w:rsidR="00334982" w:rsidRDefault="00334982">
      <w:pPr>
        <w:pStyle w:val="FootnoteText"/>
      </w:pPr>
      <w:r>
        <w:rPr>
          <w:rStyle w:val="FootnoteReference"/>
        </w:rPr>
        <w:footnoteRef/>
      </w:r>
      <w:r>
        <w:t xml:space="preserve"> </w:t>
      </w:r>
      <w:r>
        <w:t>Or “wadis.”</w:t>
      </w:r>
    </w:p>
  </w:footnote>
  <w:footnote w:id="9">
    <w:p w:rsidR="00334982" w:rsidRDefault="00334982">
      <w:pPr>
        <w:pStyle w:val="FootnoteText"/>
      </w:pPr>
      <w:r>
        <w:rPr>
          <w:rStyle w:val="FootnoteReference"/>
        </w:rPr>
        <w:footnoteRef/>
      </w:r>
      <w:r>
        <w:t xml:space="preserve"> </w:t>
      </w:r>
      <w:r>
        <w:t>Lit., “mouth.”</w:t>
      </w:r>
    </w:p>
  </w:footnote>
  <w:footnote w:id="10">
    <w:p w:rsidR="00334982" w:rsidRDefault="00334982">
      <w:pPr>
        <w:pStyle w:val="FootnoteText"/>
      </w:pPr>
      <w:r>
        <w:rPr>
          <w:rStyle w:val="FootnoteReference"/>
        </w:rPr>
        <w:footnoteRef/>
      </w:r>
      <w:r>
        <w:t xml:space="preserve"> </w:t>
      </w:r>
      <w:r>
        <w:t>Or “wadis.”</w:t>
      </w:r>
    </w:p>
  </w:footnote>
  <w:footnote w:id="11">
    <w:p w:rsidR="00334982" w:rsidRDefault="00334982">
      <w:pPr>
        <w:pStyle w:val="FootnoteText"/>
      </w:pPr>
      <w:r>
        <w:rPr>
          <w:rStyle w:val="FootnoteReference"/>
        </w:rPr>
        <w:footnoteRef/>
      </w:r>
      <w:r>
        <w:t xml:space="preserve"> </w:t>
      </w:r>
      <w:r>
        <w:t>Or “Sing.”</w:t>
      </w:r>
    </w:p>
  </w:footnote>
  <w:footnote w:id="12">
    <w:p w:rsidR="00334982" w:rsidRDefault="00334982">
      <w:pPr>
        <w:pStyle w:val="FootnoteText"/>
      </w:pPr>
      <w:r>
        <w:rPr>
          <w:rStyle w:val="FootnoteReference"/>
        </w:rPr>
        <w:footnoteRef/>
      </w:r>
      <w:r>
        <w:t xml:space="preserve"> </w:t>
      </w:r>
      <w:r>
        <w:t>Lit., “field.”</w:t>
      </w:r>
    </w:p>
  </w:footnote>
  <w:footnote w:id="13">
    <w:p w:rsidR="00334982" w:rsidRDefault="00334982">
      <w:pPr>
        <w:pStyle w:val="FootnoteText"/>
      </w:pPr>
      <w:r>
        <w:rPr>
          <w:rStyle w:val="FootnoteReference"/>
        </w:rPr>
        <w:footnoteRef/>
      </w:r>
      <w:r>
        <w:t xml:space="preserve"> </w:t>
      </w:r>
      <w:r>
        <w:t>Or possibly, “the desert; the wilderness.”</w:t>
      </w:r>
    </w:p>
  </w:footnote>
  <w:footnote w:id="14">
    <w:p w:rsidR="00334982" w:rsidRDefault="00334982">
      <w:pPr>
        <w:pStyle w:val="FootnoteText"/>
      </w:pPr>
      <w:r>
        <w:rPr>
          <w:rStyle w:val="FootnoteReference"/>
        </w:rPr>
        <w:footnoteRef/>
      </w:r>
      <w:r>
        <w:t xml:space="preserve"> </w:t>
      </w:r>
      <w:r>
        <w:t>Or “surrounding.”</w:t>
      </w:r>
    </w:p>
  </w:footnote>
  <w:footnote w:id="15">
    <w:p w:rsidR="00334982" w:rsidRDefault="00334982">
      <w:pPr>
        <w:pStyle w:val="FootnoteText"/>
      </w:pPr>
      <w:r>
        <w:rPr>
          <w:rStyle w:val="FootnoteReference"/>
        </w:rPr>
        <w:footnoteRef/>
      </w:r>
      <w:r>
        <w:t xml:space="preserve"> </w:t>
      </w:r>
      <w:r>
        <w:t>Or “surrounding.”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334982">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334982">
        <w:t>Numbers Chapter 21</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334982">
      <w:t>04-Numbers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334982">
      <w:rPr>
        <w:noProof/>
        <w:snapToGrid w:val="0"/>
      </w:rPr>
      <w:t>Numbers 21.Advisor.docx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334982">
        <w:t>Numbers Chapter 21</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334982">
      <w:t>04-Numbers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334982">
      <w:rPr>
        <w:noProof/>
        <w:snapToGrid w:val="0"/>
      </w:rPr>
      <w:t>Numbers 21.Advisor.docx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334982">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334982">
      <w:t>&lt;not set&gt;</w:t>
    </w:r>
    <w:r>
      <w:fldChar w:fldCharType="end"/>
    </w:r>
    <w:r>
      <w:tab/>
      <w:t xml:space="preserve">Checker: </w:t>
    </w:r>
    <w:r>
      <w:fldChar w:fldCharType="begin"/>
    </w:r>
    <w:r>
      <w:instrText xml:space="preserve"> DOCPROPERTY "_RoleChecker" </w:instrText>
    </w:r>
    <w:r>
      <w:fldChar w:fldCharType="separate"/>
    </w:r>
    <w:r w:rsidR="00334982">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334982">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46E4"/>
    <w:rsid w:val="00245EDD"/>
    <w:rsid w:val="0026230D"/>
    <w:rsid w:val="002B524D"/>
    <w:rsid w:val="002C00A8"/>
    <w:rsid w:val="00310508"/>
    <w:rsid w:val="00334982"/>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546E4"/>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 w:val="00FB65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5f73d8615d234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334982"/>
    <w:pPr>
      <w:spacing w:line="240" w:lineRule="auto"/>
    </w:pPr>
    <w:rPr>
      <w:sz w:val="20"/>
      <w:szCs w:val="20"/>
    </w:rPr>
  </w:style>
  <w:style w:type="character" w:customStyle="1" w:styleId="FootnoteTextChar">
    <w:name w:val="Footnote Text Char"/>
    <w:basedOn w:val="DefaultParagraphFont"/>
    <w:link w:val="FootnoteText"/>
    <w:rsid w:val="00334982"/>
    <w:rPr>
      <w:rFonts w:ascii="Arial" w:eastAsia="Times New Roman" w:hAnsi="Arial" w:cs="Latha"/>
      <w:lang w:val="en-US" w:eastAsia="en-US" w:bidi="ta-IN"/>
    </w:rPr>
  </w:style>
  <w:style w:type="character" w:styleId="FootnoteReference">
    <w:name w:val="footnote reference"/>
    <w:basedOn w:val="DefaultParagraphFont"/>
    <w:rsid w:val="00334982"/>
    <w:rPr>
      <w:vertAlign w:val="superscript"/>
    </w:rPr>
  </w:style>
  <w:style w:type="paragraph" w:styleId="EndnoteText">
    <w:name w:val="endnote text"/>
    <w:basedOn w:val="Normal"/>
    <w:link w:val="EndnoteTextChar"/>
    <w:rsid w:val="00334982"/>
    <w:pPr>
      <w:spacing w:line="240" w:lineRule="auto"/>
    </w:pPr>
    <w:rPr>
      <w:sz w:val="20"/>
      <w:szCs w:val="20"/>
    </w:rPr>
  </w:style>
  <w:style w:type="character" w:customStyle="1" w:styleId="EndnoteTextChar">
    <w:name w:val="Endnote Text Char"/>
    <w:basedOn w:val="DefaultParagraphFont"/>
    <w:link w:val="EndnoteText"/>
    <w:rsid w:val="00334982"/>
    <w:rPr>
      <w:rFonts w:ascii="Arial" w:eastAsia="Times New Roman" w:hAnsi="Arial" w:cs="Latha"/>
      <w:lang w:val="en-US" w:eastAsia="en-US" w:bidi="ta-IN"/>
    </w:rPr>
  </w:style>
  <w:style w:type="character" w:styleId="EndnoteReference">
    <w:name w:val="endnote reference"/>
    <w:basedOn w:val="DefaultParagraphFont"/>
    <w:rsid w:val="00334982"/>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334982"/>
    <w:pPr>
      <w:spacing w:line="240" w:lineRule="auto"/>
    </w:pPr>
    <w:rPr>
      <w:sz w:val="20"/>
      <w:szCs w:val="20"/>
    </w:rPr>
  </w:style>
  <w:style w:type="character" w:customStyle="1" w:styleId="FootnoteTextChar">
    <w:name w:val="Footnote Text Char"/>
    <w:basedOn w:val="DefaultParagraphFont"/>
    <w:link w:val="FootnoteText"/>
    <w:rsid w:val="00334982"/>
    <w:rPr>
      <w:rFonts w:ascii="Arial" w:eastAsia="Times New Roman" w:hAnsi="Arial" w:cs="Latha"/>
      <w:lang w:val="en-US" w:eastAsia="en-US" w:bidi="ta-IN"/>
    </w:rPr>
  </w:style>
  <w:style w:type="character" w:styleId="FootnoteReference">
    <w:name w:val="footnote reference"/>
    <w:basedOn w:val="DefaultParagraphFont"/>
    <w:rsid w:val="00334982"/>
    <w:rPr>
      <w:vertAlign w:val="superscript"/>
    </w:rPr>
  </w:style>
  <w:style w:type="paragraph" w:styleId="EndnoteText">
    <w:name w:val="endnote text"/>
    <w:basedOn w:val="Normal"/>
    <w:link w:val="EndnoteTextChar"/>
    <w:rsid w:val="00334982"/>
    <w:pPr>
      <w:spacing w:line="240" w:lineRule="auto"/>
    </w:pPr>
    <w:rPr>
      <w:sz w:val="20"/>
      <w:szCs w:val="20"/>
    </w:rPr>
  </w:style>
  <w:style w:type="character" w:customStyle="1" w:styleId="EndnoteTextChar">
    <w:name w:val="Endnote Text Char"/>
    <w:basedOn w:val="DefaultParagraphFont"/>
    <w:link w:val="EndnoteText"/>
    <w:rsid w:val="00334982"/>
    <w:rPr>
      <w:rFonts w:ascii="Arial" w:eastAsia="Times New Roman" w:hAnsi="Arial" w:cs="Latha"/>
      <w:lang w:val="en-US" w:eastAsia="en-US" w:bidi="ta-IN"/>
    </w:rPr>
  </w:style>
  <w:style w:type="character" w:styleId="EndnoteReference">
    <w:name w:val="endnote reference"/>
    <w:basedOn w:val="DefaultParagraphFont"/>
    <w:rsid w:val="0033498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5f73d8615d234a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945</ap:Words>
  <ap:Characters>4132</ap:Characters>
  <ap:Application>Microsoft Office Word</ap:Application>
  <ap:DocSecurity>0</ap:DocSecurity>
  <ap:Lines>75</ap:Lines>
  <ap:Paragraphs>28</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5049</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 Chapter 21</dc:title>
  <dc:subject/>
  <dc:creator>David Waterson</dc:creator>
  <cp:keywords/>
  <dc:description/>
  <cp:lastModifiedBy>David Waterson</cp:lastModifiedBy>
  <cp:revision>3</cp:revision>
  <dcterms:created xsi:type="dcterms:W3CDTF">2019-08-04T14:17:00Z</dcterms:created>
  <dcterms:modified xsi:type="dcterms:W3CDTF">2019-08-04T14:17:00Z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Numbers 21.docx</vt:lpwstr>
  </property>
  <property fmtid="{D5CDD505-2E9C-101B-9397-08002B2CF9AE}" pid="9" name="_TranslationDocumentId">
    <vt:i4>19468</vt:i4>
  </property>
  <property fmtid="{D5CDD505-2E9C-101B-9397-08002B2CF9AE}" pid="10" name="_ParentPublicationName">
    <vt:lpwstr>04-Numbers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4021</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4</vt:i4>
  </property>
  <property fmtid="{D5CDD505-2E9C-101B-9397-08002B2CF9AE}" pid="18" name="_ChapterNumber">
    <vt:i4>21</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