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C4A" w:rsidRDefault="00051C4A" w:rsidP="00051C4A">
      <w:pPr>
        <w:rPr>
          <w:rFonts w:ascii="MEPS Bookman WTS" w:eastAsia="Segoe UI" w:hAnsi="MEPS Bookman WTS" w:cs="Segoe UI"/>
        </w:rPr>
      </w:pPr>
      <w:bookmarkStart w:id="0" w:name="_GoBack"/>
      <w:bookmarkEnd w:id="0"/>
      <w:r>
        <w:rPr>
          <w:rFonts w:eastAsia="Segoe UI" w:cs="Arial"/>
          <w:b/>
        </w:rPr>
        <w:t xml:space="preserve">21:1 </w:t>
      </w:r>
      <w:r>
        <w:rPr>
          <w:rFonts w:eastAsia="Segoe UI" w:cs="Arial"/>
        </w:rPr>
        <w:t xml:space="preserve">“If someone is found slain in a field of the land that Jehovah your God is giving you to possess and it is not known who killed him, </w:t>
      </w:r>
      <w:r>
        <w:rPr>
          <w:rFonts w:eastAsia="Segoe UI" w:cs="Arial"/>
          <w:b/>
        </w:rPr>
        <w:t xml:space="preserve">2 </w:t>
      </w:r>
      <w:r>
        <w:rPr>
          <w:rFonts w:eastAsia="Segoe UI" w:cs="Arial"/>
        </w:rPr>
        <w:t>your elders and judges</w:t>
      </w:r>
      <w:r w:rsidR="004F0907">
        <w:rPr>
          <w:rStyle w:val="EndnoteReference"/>
          <w:rFonts w:eastAsia="Segoe UI" w:cs="Arial"/>
        </w:rPr>
        <w:endnoteReference w:id="1"/>
      </w:r>
      <w:r>
        <w:rPr>
          <w:rFonts w:eastAsia="Segoe UI" w:cs="Arial"/>
        </w:rPr>
        <w:t xml:space="preserve"> should go out and measure the distance from the dead body to the cities that surround it. </w:t>
      </w:r>
      <w:r>
        <w:rPr>
          <w:rFonts w:eastAsia="Segoe UI" w:cs="Arial"/>
          <w:b/>
        </w:rPr>
        <w:t xml:space="preserve">3 </w:t>
      </w:r>
      <w:r>
        <w:rPr>
          <w:rFonts w:eastAsia="Segoe UI" w:cs="Arial"/>
        </w:rPr>
        <w:t xml:space="preserve">Then the elders of the city nearest to the body should take from the herd a young cow that has never been put to work, that has never pulled in a yoke, </w:t>
      </w:r>
      <w:r>
        <w:rPr>
          <w:rFonts w:eastAsia="Segoe UI" w:cs="Arial"/>
          <w:b/>
        </w:rPr>
        <w:t xml:space="preserve">4 </w:t>
      </w:r>
      <w:r>
        <w:rPr>
          <w:rFonts w:eastAsia="Segoe UI" w:cs="Arial"/>
        </w:rPr>
        <w:t>and the elders of that city should lead the young cow down to a valley</w:t>
      </w:r>
      <w:r w:rsidR="004F0907">
        <w:rPr>
          <w:rStyle w:val="FootnoteReference"/>
          <w:rFonts w:eastAsia="Segoe UI" w:cs="Arial"/>
        </w:rPr>
        <w:footnoteReference w:id="1"/>
      </w:r>
      <w:r>
        <w:rPr>
          <w:rFonts w:eastAsia="Segoe UI" w:cs="Arial"/>
        </w:rPr>
        <w:t xml:space="preserve"> running with water where no tilling or sowing of seed has been done, and they should break the neck of the young cow there in the valley.</w:t>
      </w:r>
      <w:r w:rsidR="004F0907">
        <w:rPr>
          <w:rStyle w:val="EndnoteReference"/>
          <w:rFonts w:eastAsia="Segoe UI" w:cs="Arial"/>
        </w:rPr>
        <w:endnoteReference w:id="2"/>
      </w:r>
    </w:p>
    <w:p w:rsidR="00051C4A" w:rsidRDefault="00051C4A" w:rsidP="00051C4A">
      <w:pPr>
        <w:rPr>
          <w:rFonts w:eastAsia="Segoe UI" w:cs="Arial"/>
        </w:rPr>
      </w:pPr>
      <w:r>
        <w:rPr>
          <w:rFonts w:eastAsia="Segoe UI" w:cs="Arial"/>
          <w:b/>
        </w:rPr>
        <w:t xml:space="preserve">5 </w:t>
      </w:r>
      <w:r>
        <w:rPr>
          <w:rFonts w:eastAsia="Segoe UI" w:cs="Arial"/>
        </w:rPr>
        <w:t>“And the priests, the Levites, will approach because Jehovah your God has chosen them to minister to him,</w:t>
      </w:r>
      <w:r w:rsidR="004F0907">
        <w:rPr>
          <w:rStyle w:val="EndnoteReference"/>
          <w:rFonts w:eastAsia="Segoe UI" w:cs="Arial"/>
        </w:rPr>
        <w:endnoteReference w:id="3"/>
      </w:r>
      <w:r>
        <w:rPr>
          <w:rFonts w:eastAsia="Segoe UI" w:cs="Arial"/>
        </w:rPr>
        <w:t xml:space="preserve"> to pronounce blessings in the name of Jehovah.</w:t>
      </w:r>
      <w:r w:rsidR="004F0907">
        <w:rPr>
          <w:rStyle w:val="EndnoteReference"/>
          <w:rFonts w:eastAsia="Segoe UI" w:cs="Arial"/>
        </w:rPr>
        <w:endnoteReference w:id="4"/>
      </w:r>
      <w:r>
        <w:rPr>
          <w:rFonts w:eastAsia="Segoe UI" w:cs="Arial"/>
        </w:rPr>
        <w:t xml:space="preserve"> They will declare how every dispute involving violence should be resolved.</w:t>
      </w:r>
      <w:r w:rsidR="004F0907">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Then all the elders of the city who are nearest to the dead body should wash their hands</w:t>
      </w:r>
      <w:r w:rsidR="004F0907">
        <w:rPr>
          <w:rStyle w:val="EndnoteReference"/>
          <w:rFonts w:eastAsia="Segoe UI" w:cs="Arial"/>
        </w:rPr>
        <w:endnoteReference w:id="6"/>
      </w:r>
      <w:r>
        <w:rPr>
          <w:rFonts w:eastAsia="Segoe UI" w:cs="Arial"/>
        </w:rPr>
        <w:t xml:space="preserve"> over the young cow whose neck was broken in the valley, </w:t>
      </w:r>
      <w:r>
        <w:rPr>
          <w:rFonts w:eastAsia="Segoe UI" w:cs="Arial"/>
          <w:b/>
        </w:rPr>
        <w:t xml:space="preserve">7 </w:t>
      </w:r>
      <w:r>
        <w:rPr>
          <w:rFonts w:eastAsia="Segoe UI" w:cs="Arial"/>
        </w:rPr>
        <w:t xml:space="preserve">and they should declare, ‘Our hands did not shed this blood, nor did our eyes see it shed. </w:t>
      </w:r>
      <w:r>
        <w:rPr>
          <w:rFonts w:eastAsia="Segoe UI" w:cs="Arial"/>
          <w:b/>
        </w:rPr>
        <w:t xml:space="preserve">8 </w:t>
      </w:r>
      <w:r>
        <w:rPr>
          <w:rFonts w:eastAsia="Segoe UI" w:cs="Arial"/>
        </w:rPr>
        <w:t>Do not hold this against your people Israel, whom you redeemed,</w:t>
      </w:r>
      <w:r w:rsidR="004F0907">
        <w:rPr>
          <w:rStyle w:val="EndnoteReference"/>
          <w:rFonts w:eastAsia="Segoe UI" w:cs="Arial"/>
        </w:rPr>
        <w:endnoteReference w:id="7"/>
      </w:r>
      <w:r>
        <w:rPr>
          <w:rFonts w:eastAsia="Segoe UI" w:cs="Arial"/>
        </w:rPr>
        <w:t xml:space="preserve"> O Jehovah, and do not let guilt for innocent blood remain among your people Israel.’</w:t>
      </w:r>
      <w:r w:rsidR="004F0907">
        <w:rPr>
          <w:rStyle w:val="EndnoteReference"/>
          <w:rFonts w:eastAsia="Segoe UI" w:cs="Arial"/>
        </w:rPr>
        <w:endnoteReference w:id="8"/>
      </w:r>
      <w:r>
        <w:rPr>
          <w:rFonts w:eastAsia="Segoe UI" w:cs="Arial"/>
        </w:rPr>
        <w:t xml:space="preserve"> Then the bloodguilt will not be held against them. </w:t>
      </w:r>
      <w:r>
        <w:rPr>
          <w:rFonts w:eastAsia="Segoe UI" w:cs="Arial"/>
          <w:b/>
        </w:rPr>
        <w:t xml:space="preserve">9 </w:t>
      </w:r>
      <w:r>
        <w:rPr>
          <w:rFonts w:eastAsia="Segoe UI" w:cs="Arial"/>
        </w:rPr>
        <w:t>In this way you will remove the guilt of innocent blood from your midst by doing what is right in Jehovah’s eyes.</w:t>
      </w:r>
    </w:p>
    <w:p w:rsidR="00051C4A" w:rsidRDefault="00051C4A" w:rsidP="00051C4A">
      <w:pPr>
        <w:rPr>
          <w:rFonts w:eastAsia="Segoe UI" w:cs="Arial"/>
        </w:rPr>
      </w:pPr>
      <w:r>
        <w:rPr>
          <w:rFonts w:eastAsia="Segoe UI" w:cs="Arial"/>
          <w:b/>
        </w:rPr>
        <w:t xml:space="preserve">10 </w:t>
      </w:r>
      <w:r>
        <w:rPr>
          <w:rFonts w:eastAsia="Segoe UI" w:cs="Arial"/>
        </w:rPr>
        <w:t>“If you go to war against your enemies and Jehovah your God defeats them for you and you take them captive,</w:t>
      </w:r>
      <w:r w:rsidR="004F0907">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11 </w:t>
      </w:r>
      <w:r>
        <w:rPr>
          <w:rFonts w:eastAsia="Segoe UI" w:cs="Arial"/>
        </w:rPr>
        <w:t xml:space="preserve">and you see among the captives a beautiful woman and you are attracted to her and you want to take her as your wife, </w:t>
      </w:r>
      <w:r>
        <w:rPr>
          <w:rFonts w:eastAsia="Segoe UI" w:cs="Arial"/>
          <w:b/>
        </w:rPr>
        <w:t xml:space="preserve">12 </w:t>
      </w:r>
      <w:r>
        <w:rPr>
          <w:rFonts w:eastAsia="Segoe UI" w:cs="Arial"/>
        </w:rPr>
        <w:t xml:space="preserve">you may bring her into your house. She should then shave her head, attend to her nails, </w:t>
      </w:r>
      <w:r>
        <w:rPr>
          <w:rFonts w:eastAsia="Segoe UI" w:cs="Arial"/>
          <w:b/>
        </w:rPr>
        <w:t xml:space="preserve">13 </w:t>
      </w:r>
      <w:r>
        <w:rPr>
          <w:rFonts w:eastAsia="Segoe UI" w:cs="Arial"/>
        </w:rPr>
        <w:t>and remove the clothing of her captivity, and dwell in your house. She will weep for her father and her mother a whole month,</w:t>
      </w:r>
      <w:r w:rsidR="004F0907">
        <w:rPr>
          <w:rStyle w:val="EndnoteReference"/>
          <w:rFonts w:eastAsia="Segoe UI" w:cs="Arial"/>
        </w:rPr>
        <w:endnoteReference w:id="10"/>
      </w:r>
      <w:r>
        <w:rPr>
          <w:rFonts w:eastAsia="Segoe UI" w:cs="Arial"/>
        </w:rPr>
        <w:t xml:space="preserve"> and afterward you may have relations with her; you will become her husband and she will become your wife. </w:t>
      </w:r>
      <w:r>
        <w:rPr>
          <w:rFonts w:eastAsia="Segoe UI" w:cs="Arial"/>
          <w:b/>
        </w:rPr>
        <w:t xml:space="preserve">14 </w:t>
      </w:r>
      <w:r>
        <w:rPr>
          <w:rFonts w:eastAsia="Segoe UI" w:cs="Arial"/>
        </w:rPr>
        <w:t>But if you are not pleased with her, you should then let her go</w:t>
      </w:r>
      <w:r w:rsidR="004F0907">
        <w:rPr>
          <w:rStyle w:val="EndnoteReference"/>
          <w:rFonts w:eastAsia="Segoe UI" w:cs="Arial"/>
        </w:rPr>
        <w:endnoteReference w:id="11"/>
      </w:r>
      <w:r>
        <w:rPr>
          <w:rFonts w:eastAsia="Segoe UI" w:cs="Arial"/>
        </w:rPr>
        <w:t xml:space="preserve"> wherever she wishes.</w:t>
      </w:r>
      <w:r w:rsidR="004F0907">
        <w:rPr>
          <w:rStyle w:val="FootnoteReference"/>
          <w:rFonts w:eastAsia="Segoe UI" w:cs="Arial"/>
        </w:rPr>
        <w:footnoteReference w:id="2"/>
      </w:r>
      <w:r>
        <w:rPr>
          <w:rFonts w:eastAsia="Segoe UI" w:cs="Arial"/>
        </w:rPr>
        <w:t xml:space="preserve"> But you may not sell her for money or treat her harshly, since you have humiliated her.</w:t>
      </w:r>
    </w:p>
    <w:p w:rsidR="00051C4A" w:rsidRDefault="00051C4A" w:rsidP="00051C4A">
      <w:pPr>
        <w:rPr>
          <w:rFonts w:ascii="MEPS Bookman WTS" w:eastAsia="Segoe UI" w:hAnsi="MEPS Bookman WTS" w:cs="Segoe UI"/>
        </w:rPr>
      </w:pPr>
      <w:r>
        <w:rPr>
          <w:rFonts w:eastAsia="Segoe UI" w:cs="Arial"/>
          <w:b/>
        </w:rPr>
        <w:t xml:space="preserve">15 </w:t>
      </w:r>
      <w:r>
        <w:rPr>
          <w:rFonts w:eastAsia="Segoe UI" w:cs="Arial"/>
        </w:rPr>
        <w:t>“If a man has two wives and he loves one more than the other</w:t>
      </w:r>
      <w:r w:rsidR="004F0907">
        <w:rPr>
          <w:rStyle w:val="FootnoteReference"/>
          <w:rFonts w:eastAsia="Segoe UI" w:cs="Arial"/>
        </w:rPr>
        <w:footnoteReference w:id="3"/>
      </w:r>
      <w:r>
        <w:rPr>
          <w:rFonts w:eastAsia="Segoe UI" w:cs="Arial"/>
        </w:rPr>
        <w:t xml:space="preserve"> and both have borne sons to him and the firstborn son belongs to the unloved one,</w:t>
      </w:r>
      <w:r w:rsidR="004F0907">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16 </w:t>
      </w:r>
      <w:r>
        <w:rPr>
          <w:rFonts w:eastAsia="Segoe UI" w:cs="Arial"/>
        </w:rPr>
        <w:t xml:space="preserve">on the day that he gives his inheritance to his sons, he will not be allowed to treat the son of the loved one as his firstborn at the expense of the son of the unloved one, the firstborn. </w:t>
      </w:r>
      <w:r>
        <w:rPr>
          <w:rFonts w:eastAsia="Segoe UI" w:cs="Arial"/>
          <w:b/>
        </w:rPr>
        <w:t xml:space="preserve">17 </w:t>
      </w:r>
      <w:r>
        <w:rPr>
          <w:rFonts w:eastAsia="Segoe UI" w:cs="Arial"/>
        </w:rPr>
        <w:t>He should recognize as the firstborn the unloved one’s son by giving him the double portion of everything he has, for that one is the beginning of his procreative power. The right of the firstborn’s position belongs to him.</w:t>
      </w:r>
      <w:r w:rsidR="004F0907">
        <w:rPr>
          <w:rStyle w:val="EndnoteReference"/>
          <w:rFonts w:eastAsia="Segoe UI" w:cs="Arial"/>
        </w:rPr>
        <w:endnoteReference w:id="13"/>
      </w:r>
    </w:p>
    <w:p w:rsidR="00051C4A" w:rsidRDefault="00051C4A" w:rsidP="00051C4A">
      <w:pPr>
        <w:rPr>
          <w:rFonts w:ascii="MEPS Bookman WTS" w:eastAsia="Segoe UI" w:hAnsi="MEPS Bookman WTS" w:cs="Segoe UI"/>
        </w:rPr>
      </w:pPr>
      <w:r>
        <w:rPr>
          <w:rFonts w:eastAsia="Segoe UI" w:cs="Arial"/>
          <w:b/>
        </w:rPr>
        <w:t xml:space="preserve">18 </w:t>
      </w:r>
      <w:r>
        <w:rPr>
          <w:rFonts w:eastAsia="Segoe UI" w:cs="Arial"/>
        </w:rPr>
        <w:t>“If a man has a son who is stubborn and rebellious and he does not obey his father or his mother,</w:t>
      </w:r>
      <w:r w:rsidR="004F0907">
        <w:rPr>
          <w:rStyle w:val="EndnoteReference"/>
          <w:rFonts w:eastAsia="Segoe UI" w:cs="Arial"/>
        </w:rPr>
        <w:endnoteReference w:id="14"/>
      </w:r>
      <w:r>
        <w:rPr>
          <w:rFonts w:eastAsia="Segoe UI" w:cs="Arial"/>
        </w:rPr>
        <w:t xml:space="preserve"> and they have tried to correct him but he refuses to listen to them,</w:t>
      </w:r>
      <w:r w:rsidR="004F0907">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19 </w:t>
      </w:r>
      <w:r>
        <w:rPr>
          <w:rFonts w:eastAsia="Segoe UI" w:cs="Arial"/>
        </w:rPr>
        <w:t xml:space="preserve">his father and his mother should take hold of him and bring him out to the elders at the gate of his city </w:t>
      </w:r>
      <w:r>
        <w:rPr>
          <w:rFonts w:eastAsia="Segoe UI" w:cs="Arial"/>
          <w:b/>
        </w:rPr>
        <w:t xml:space="preserve">20 </w:t>
      </w:r>
      <w:r>
        <w:rPr>
          <w:rFonts w:eastAsia="Segoe UI" w:cs="Arial"/>
        </w:rPr>
        <w:t>and say to the elders of his city, ‘This son of ours is stubborn and rebellious, and he refuses to obey us. He is a glutton</w:t>
      </w:r>
      <w:r w:rsidR="004F0907">
        <w:rPr>
          <w:rStyle w:val="EndnoteReference"/>
          <w:rFonts w:eastAsia="Segoe UI" w:cs="Arial"/>
        </w:rPr>
        <w:endnoteReference w:id="16"/>
      </w:r>
      <w:r>
        <w:rPr>
          <w:rFonts w:eastAsia="Segoe UI" w:cs="Arial"/>
        </w:rPr>
        <w:t xml:space="preserve"> and a drunkard.’</w:t>
      </w:r>
      <w:r w:rsidR="004F0907">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21 </w:t>
      </w:r>
      <w:r>
        <w:rPr>
          <w:rFonts w:eastAsia="Segoe UI" w:cs="Arial"/>
        </w:rPr>
        <w:t>Then all the men of his city must stone him to death. So you must remove what is bad from your midst, and all Israel will hear and become afraid.</w:t>
      </w:r>
      <w:r w:rsidR="004F0907">
        <w:rPr>
          <w:rStyle w:val="EndnoteReference"/>
          <w:rFonts w:eastAsia="Segoe UI" w:cs="Arial"/>
        </w:rPr>
        <w:endnoteReference w:id="18"/>
      </w:r>
    </w:p>
    <w:p w:rsidR="00051C4A" w:rsidRDefault="00051C4A" w:rsidP="00051C4A">
      <w:pPr>
        <w:rPr>
          <w:rFonts w:ascii="MEPS Bookman WTS" w:eastAsia="Segoe UI" w:hAnsi="MEPS Bookman WTS" w:cs="Segoe UI"/>
        </w:rPr>
      </w:pPr>
      <w:r>
        <w:rPr>
          <w:rFonts w:eastAsia="Segoe UI" w:cs="Arial"/>
          <w:b/>
        </w:rPr>
        <w:t xml:space="preserve">22 </w:t>
      </w:r>
      <w:r>
        <w:rPr>
          <w:rFonts w:eastAsia="Segoe UI" w:cs="Arial"/>
        </w:rPr>
        <w:t>“If a man commits a sin deserving the sentence of death and he has been put to death</w:t>
      </w:r>
      <w:r w:rsidR="004F0907">
        <w:rPr>
          <w:rStyle w:val="EndnoteReference"/>
          <w:rFonts w:eastAsia="Segoe UI" w:cs="Arial"/>
        </w:rPr>
        <w:endnoteReference w:id="19"/>
      </w:r>
      <w:r>
        <w:rPr>
          <w:rFonts w:eastAsia="Segoe UI" w:cs="Arial"/>
        </w:rPr>
        <w:t xml:space="preserve"> and you have hung him on a stake,</w:t>
      </w:r>
      <w:r w:rsidR="004F0907">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23 </w:t>
      </w:r>
      <w:r>
        <w:rPr>
          <w:rFonts w:eastAsia="Segoe UI" w:cs="Arial"/>
        </w:rPr>
        <w:t>his dead body should not remain all night on the stake.</w:t>
      </w:r>
      <w:r w:rsidR="004F0907">
        <w:rPr>
          <w:rStyle w:val="EndnoteReference"/>
          <w:rFonts w:eastAsia="Segoe UI" w:cs="Arial"/>
        </w:rPr>
        <w:endnoteReference w:id="21"/>
      </w:r>
      <w:r>
        <w:rPr>
          <w:rFonts w:eastAsia="Segoe UI" w:cs="Arial"/>
        </w:rPr>
        <w:t xml:space="preserve"> Instead, you should be sure to bury him on that day, because the one hung up is something accursed of God,</w:t>
      </w:r>
      <w:r w:rsidR="004F0907">
        <w:rPr>
          <w:rStyle w:val="EndnoteReference"/>
          <w:rFonts w:eastAsia="Segoe UI" w:cs="Arial"/>
        </w:rPr>
        <w:endnoteReference w:id="22"/>
      </w:r>
      <w:r>
        <w:rPr>
          <w:rFonts w:eastAsia="Segoe UI" w:cs="Arial"/>
        </w:rPr>
        <w:t xml:space="preserve"> and you should not defile your land that Jehovah your God is giving you as an inheritance.</w:t>
      </w:r>
      <w:r w:rsidR="004F0907">
        <w:rPr>
          <w:rStyle w:val="EndnoteReference"/>
          <w:rFonts w:eastAsia="Segoe UI" w:cs="Arial"/>
        </w:rPr>
        <w:endnoteReference w:id="23"/>
      </w:r>
    </w:p>
    <w:p w:rsidR="00762BCB" w:rsidRPr="00051C4A" w:rsidRDefault="00762BCB" w:rsidP="00051C4A"/>
    <w:sectPr w:rsidR="00762BCB" w:rsidRPr="00051C4A"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55F" w:rsidRDefault="0063055F">
      <w:r>
        <w:separator/>
      </w:r>
    </w:p>
  </w:endnote>
  <w:endnote w:type="continuationSeparator" w:id="0">
    <w:p w:rsidR="0063055F" w:rsidRDefault="0063055F">
      <w:r>
        <w:continuationSeparator/>
      </w:r>
    </w:p>
  </w:endnote>
  <w:endnote w:id="1">
    <w:p w:rsidR="004F0907" w:rsidRDefault="004F0907">
      <w:pPr>
        <w:pStyle w:val="EndnoteText"/>
      </w:pPr>
      <w:r>
        <w:rPr>
          <w:rStyle w:val="EndnoteReference"/>
        </w:rPr>
        <w:endnoteRef/>
      </w:r>
      <w:r>
        <w:t xml:space="preserve"> Deuteronomy 16:18</w:t>
      </w:r>
    </w:p>
  </w:endnote>
  <w:endnote w:id="2">
    <w:p w:rsidR="004F0907" w:rsidRDefault="004F0907">
      <w:pPr>
        <w:pStyle w:val="EndnoteText"/>
      </w:pPr>
      <w:r>
        <w:rPr>
          <w:rStyle w:val="EndnoteReference"/>
        </w:rPr>
        <w:endnoteRef/>
      </w:r>
      <w:r>
        <w:t xml:space="preserve"> Numbers 35:33</w:t>
      </w:r>
    </w:p>
  </w:endnote>
  <w:endnote w:id="3">
    <w:p w:rsidR="004F0907" w:rsidRDefault="004F0907">
      <w:pPr>
        <w:pStyle w:val="EndnoteText"/>
      </w:pPr>
      <w:r>
        <w:rPr>
          <w:rStyle w:val="EndnoteReference"/>
        </w:rPr>
        <w:endnoteRef/>
      </w:r>
      <w:r>
        <w:t xml:space="preserve"> Exodus 28:1</w:t>
      </w:r>
    </w:p>
  </w:endnote>
  <w:endnote w:id="4">
    <w:p w:rsidR="004F0907" w:rsidRDefault="004F0907">
      <w:pPr>
        <w:pStyle w:val="EndnoteText"/>
      </w:pPr>
      <w:r>
        <w:rPr>
          <w:rStyle w:val="EndnoteReference"/>
        </w:rPr>
        <w:endnoteRef/>
      </w:r>
      <w:r>
        <w:t xml:space="preserve"> Numbers 6:23-27; 1 Chronicles 23:13</w:t>
      </w:r>
    </w:p>
  </w:endnote>
  <w:endnote w:id="5">
    <w:p w:rsidR="004F0907" w:rsidRDefault="004F0907">
      <w:pPr>
        <w:pStyle w:val="EndnoteText"/>
      </w:pPr>
      <w:r>
        <w:rPr>
          <w:rStyle w:val="EndnoteReference"/>
        </w:rPr>
        <w:endnoteRef/>
      </w:r>
      <w:r>
        <w:t xml:space="preserve"> Deuteronomy 17:8, 9</w:t>
      </w:r>
    </w:p>
  </w:endnote>
  <w:endnote w:id="6">
    <w:p w:rsidR="004F0907" w:rsidRDefault="004F0907">
      <w:pPr>
        <w:pStyle w:val="EndnoteText"/>
      </w:pPr>
      <w:r>
        <w:rPr>
          <w:rStyle w:val="EndnoteReference"/>
        </w:rPr>
        <w:endnoteRef/>
      </w:r>
      <w:r>
        <w:t xml:space="preserve"> Psalms 26:6; Matthew 27:24</w:t>
      </w:r>
    </w:p>
  </w:endnote>
  <w:endnote w:id="7">
    <w:p w:rsidR="004F0907" w:rsidRDefault="004F0907">
      <w:pPr>
        <w:pStyle w:val="EndnoteText"/>
      </w:pPr>
      <w:r>
        <w:rPr>
          <w:rStyle w:val="EndnoteReference"/>
        </w:rPr>
        <w:endnoteRef/>
      </w:r>
      <w:r>
        <w:t xml:space="preserve"> 2 Samuel 7:23</w:t>
      </w:r>
    </w:p>
  </w:endnote>
  <w:endnote w:id="8">
    <w:p w:rsidR="004F0907" w:rsidRDefault="004F0907">
      <w:pPr>
        <w:pStyle w:val="EndnoteText"/>
      </w:pPr>
      <w:r>
        <w:rPr>
          <w:rStyle w:val="EndnoteReference"/>
        </w:rPr>
        <w:endnoteRef/>
      </w:r>
      <w:r>
        <w:t xml:space="preserve"> Isaiah 26:21; Jeremiah 26:15</w:t>
      </w:r>
    </w:p>
  </w:endnote>
  <w:endnote w:id="9">
    <w:p w:rsidR="004F0907" w:rsidRDefault="004F0907">
      <w:pPr>
        <w:pStyle w:val="EndnoteText"/>
      </w:pPr>
      <w:r>
        <w:rPr>
          <w:rStyle w:val="EndnoteReference"/>
        </w:rPr>
        <w:endnoteRef/>
      </w:r>
      <w:r>
        <w:t xml:space="preserve"> Numbers 31:9; Deuteronomy 20:13, 14</w:t>
      </w:r>
    </w:p>
  </w:endnote>
  <w:endnote w:id="10">
    <w:p w:rsidR="004F0907" w:rsidRDefault="004F0907">
      <w:pPr>
        <w:pStyle w:val="EndnoteText"/>
      </w:pPr>
      <w:r>
        <w:rPr>
          <w:rStyle w:val="EndnoteReference"/>
        </w:rPr>
        <w:endnoteRef/>
      </w:r>
      <w:r>
        <w:t xml:space="preserve"> Numbers 20:29; Deuteronomy 34:8</w:t>
      </w:r>
    </w:p>
  </w:endnote>
  <w:endnote w:id="11">
    <w:p w:rsidR="004F0907" w:rsidRDefault="004F0907">
      <w:pPr>
        <w:pStyle w:val="EndnoteText"/>
      </w:pPr>
      <w:r>
        <w:rPr>
          <w:rStyle w:val="EndnoteReference"/>
        </w:rPr>
        <w:endnoteRef/>
      </w:r>
      <w:r>
        <w:t xml:space="preserve"> Deuteronomy 24:1</w:t>
      </w:r>
    </w:p>
  </w:endnote>
  <w:endnote w:id="12">
    <w:p w:rsidR="004F0907" w:rsidRDefault="004F0907">
      <w:pPr>
        <w:pStyle w:val="EndnoteText"/>
      </w:pPr>
      <w:r>
        <w:rPr>
          <w:rStyle w:val="EndnoteReference"/>
        </w:rPr>
        <w:endnoteRef/>
      </w:r>
      <w:r>
        <w:t xml:space="preserve"> Genesis 29:30, 33</w:t>
      </w:r>
    </w:p>
  </w:endnote>
  <w:endnote w:id="13">
    <w:p w:rsidR="004F0907" w:rsidRDefault="004F0907">
      <w:pPr>
        <w:pStyle w:val="EndnoteText"/>
      </w:pPr>
      <w:r>
        <w:rPr>
          <w:rStyle w:val="EndnoteReference"/>
        </w:rPr>
        <w:endnoteRef/>
      </w:r>
      <w:r>
        <w:t xml:space="preserve"> Genesis 25:31; 2 Chronicles 21:3</w:t>
      </w:r>
    </w:p>
  </w:endnote>
  <w:endnote w:id="14">
    <w:p w:rsidR="004F0907" w:rsidRDefault="004F0907">
      <w:pPr>
        <w:pStyle w:val="EndnoteText"/>
      </w:pPr>
      <w:r>
        <w:rPr>
          <w:rStyle w:val="EndnoteReference"/>
        </w:rPr>
        <w:endnoteRef/>
      </w:r>
      <w:r>
        <w:t xml:space="preserve"> Exodus 20:12; Deuteronomy 27:16; Proverbs 1:8; Ephesians 6:1</w:t>
      </w:r>
    </w:p>
  </w:endnote>
  <w:endnote w:id="15">
    <w:p w:rsidR="004F0907" w:rsidRDefault="004F0907">
      <w:pPr>
        <w:pStyle w:val="EndnoteText"/>
      </w:pPr>
      <w:r>
        <w:rPr>
          <w:rStyle w:val="EndnoteReference"/>
        </w:rPr>
        <w:endnoteRef/>
      </w:r>
      <w:r>
        <w:t xml:space="preserve"> Deuteronomy 8:5; Proverbs 13:24; 19:18; 23:13; Hebrews 12:9</w:t>
      </w:r>
    </w:p>
  </w:endnote>
  <w:endnote w:id="16">
    <w:p w:rsidR="004F0907" w:rsidRDefault="004F0907">
      <w:pPr>
        <w:pStyle w:val="EndnoteText"/>
      </w:pPr>
      <w:r>
        <w:rPr>
          <w:rStyle w:val="EndnoteReference"/>
        </w:rPr>
        <w:endnoteRef/>
      </w:r>
      <w:r>
        <w:t xml:space="preserve"> Proverbs 28:7</w:t>
      </w:r>
    </w:p>
  </w:endnote>
  <w:endnote w:id="17">
    <w:p w:rsidR="004F0907" w:rsidRDefault="004F0907">
      <w:pPr>
        <w:pStyle w:val="EndnoteText"/>
      </w:pPr>
      <w:r>
        <w:rPr>
          <w:rStyle w:val="EndnoteReference"/>
        </w:rPr>
        <w:endnoteRef/>
      </w:r>
      <w:r>
        <w:t xml:space="preserve"> Romans 13:13; 1 Corinthians 6:10; Ephesians 5:18</w:t>
      </w:r>
    </w:p>
  </w:endnote>
  <w:endnote w:id="18">
    <w:p w:rsidR="004F0907" w:rsidRDefault="004F0907">
      <w:pPr>
        <w:pStyle w:val="EndnoteText"/>
      </w:pPr>
      <w:r>
        <w:rPr>
          <w:rStyle w:val="EndnoteReference"/>
        </w:rPr>
        <w:endnoteRef/>
      </w:r>
      <w:r>
        <w:t xml:space="preserve"> Deuteronomy 13:10, 11</w:t>
      </w:r>
    </w:p>
  </w:endnote>
  <w:endnote w:id="19">
    <w:p w:rsidR="004F0907" w:rsidRDefault="004F0907">
      <w:pPr>
        <w:pStyle w:val="EndnoteText"/>
      </w:pPr>
      <w:r>
        <w:rPr>
          <w:rStyle w:val="EndnoteReference"/>
        </w:rPr>
        <w:endnoteRef/>
      </w:r>
      <w:r>
        <w:t xml:space="preserve"> Numbers 25:5</w:t>
      </w:r>
    </w:p>
  </w:endnote>
  <w:endnote w:id="20">
    <w:p w:rsidR="004F0907" w:rsidRDefault="004F0907">
      <w:pPr>
        <w:pStyle w:val="EndnoteText"/>
      </w:pPr>
      <w:r>
        <w:rPr>
          <w:rStyle w:val="EndnoteReference"/>
        </w:rPr>
        <w:endnoteRef/>
      </w:r>
      <w:r>
        <w:t xml:space="preserve"> Joshua 10:26; Acts 10:39</w:t>
      </w:r>
    </w:p>
  </w:endnote>
  <w:endnote w:id="21">
    <w:p w:rsidR="004F0907" w:rsidRDefault="004F0907">
      <w:pPr>
        <w:pStyle w:val="EndnoteText"/>
      </w:pPr>
      <w:r>
        <w:rPr>
          <w:rStyle w:val="EndnoteReference"/>
        </w:rPr>
        <w:endnoteRef/>
      </w:r>
      <w:r>
        <w:t xml:space="preserve"> Joshua 8:29; John 19:31</w:t>
      </w:r>
    </w:p>
  </w:endnote>
  <w:endnote w:id="22">
    <w:p w:rsidR="004F0907" w:rsidRDefault="004F0907">
      <w:pPr>
        <w:pStyle w:val="EndnoteText"/>
      </w:pPr>
      <w:r>
        <w:rPr>
          <w:rStyle w:val="EndnoteReference"/>
        </w:rPr>
        <w:endnoteRef/>
      </w:r>
      <w:r>
        <w:t xml:space="preserve"> Galatians 3:13</w:t>
      </w:r>
    </w:p>
  </w:endnote>
  <w:endnote w:id="23">
    <w:p w:rsidR="004F0907" w:rsidRDefault="004F0907">
      <w:pPr>
        <w:pStyle w:val="EndnoteText"/>
      </w:pPr>
      <w:r>
        <w:rPr>
          <w:rStyle w:val="EndnoteReference"/>
        </w:rPr>
        <w:endnoteRef/>
      </w:r>
      <w:r>
        <w:t xml:space="preserve"> Numbers 35:34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55F" w:rsidRDefault="0063055F">
      <w:r>
        <w:separator/>
      </w:r>
    </w:p>
  </w:footnote>
  <w:footnote w:type="continuationSeparator" w:id="0">
    <w:p w:rsidR="0063055F" w:rsidRDefault="0063055F">
      <w:r>
        <w:continuationSeparator/>
      </w:r>
    </w:p>
  </w:footnote>
  <w:footnote w:id="1">
    <w:p w:rsidR="004F0907" w:rsidRDefault="004F0907">
      <w:pPr>
        <w:pStyle w:val="FootnoteText"/>
      </w:pPr>
      <w:r>
        <w:rPr>
          <w:rStyle w:val="FootnoteReference"/>
        </w:rPr>
        <w:footnoteRef/>
      </w:r>
      <w:r>
        <w:t xml:space="preserve"> </w:t>
      </w:r>
      <w:r>
        <w:t>Or “wadi.”</w:t>
      </w:r>
    </w:p>
  </w:footnote>
  <w:footnote w:id="2">
    <w:p w:rsidR="004F0907" w:rsidRDefault="004F0907">
      <w:pPr>
        <w:pStyle w:val="FootnoteText"/>
      </w:pPr>
      <w:r>
        <w:rPr>
          <w:rStyle w:val="FootnoteReference"/>
        </w:rPr>
        <w:footnoteRef/>
      </w:r>
      <w:r>
        <w:t xml:space="preserve"> </w:t>
      </w:r>
      <w:r>
        <w:t>Or “according to her soul.”</w:t>
      </w:r>
    </w:p>
  </w:footnote>
  <w:footnote w:id="3">
    <w:p w:rsidR="004F0907" w:rsidRDefault="004F0907">
      <w:pPr>
        <w:pStyle w:val="FootnoteText"/>
      </w:pPr>
      <w:r>
        <w:rPr>
          <w:rStyle w:val="FootnoteReference"/>
        </w:rPr>
        <w:footnoteRef/>
      </w:r>
      <w:r>
        <w:t xml:space="preserve"> </w:t>
      </w:r>
      <w:r>
        <w:t>Lit., “two wives, one loved and one hated.”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F090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F0907">
        <w:t>Deuteronomy Chapter 21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F0907">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F0907">
      <w:rPr>
        <w:noProof/>
        <w:snapToGrid w:val="0"/>
      </w:rPr>
      <w:t>Deuteronomy 21.Advisor.docx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F0907">
        <w:t>Deuteronomy Chapter 21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F0907">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F0907">
      <w:rPr>
        <w:noProof/>
        <w:snapToGrid w:val="0"/>
      </w:rPr>
      <w:t>Deuteronomy 21.Advisor.docx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F090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F0907">
      <w:t>&lt;not set&gt;</w:t>
    </w:r>
    <w:r>
      <w:fldChar w:fldCharType="end"/>
    </w:r>
    <w:r>
      <w:tab/>
      <w:t xml:space="preserve">Checker: </w:t>
    </w:r>
    <w:r>
      <w:fldChar w:fldCharType="begin"/>
    </w:r>
    <w:r>
      <w:instrText xml:space="preserve"> DOCPROPERTY "_RoleChecker" </w:instrText>
    </w:r>
    <w:r>
      <w:fldChar w:fldCharType="separate"/>
    </w:r>
    <w:r w:rsidR="004F090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F090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55F"/>
    <w:rsid w:val="00051C4A"/>
    <w:rsid w:val="00245EDD"/>
    <w:rsid w:val="0026230D"/>
    <w:rsid w:val="002B524D"/>
    <w:rsid w:val="002C00A8"/>
    <w:rsid w:val="00310508"/>
    <w:rsid w:val="003B380B"/>
    <w:rsid w:val="004500A2"/>
    <w:rsid w:val="004B7393"/>
    <w:rsid w:val="004C5EB7"/>
    <w:rsid w:val="004F0907"/>
    <w:rsid w:val="005D4494"/>
    <w:rsid w:val="005F29B7"/>
    <w:rsid w:val="0063055F"/>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7ab2e388e374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F0907"/>
    <w:pPr>
      <w:spacing w:line="240" w:lineRule="auto"/>
    </w:pPr>
    <w:rPr>
      <w:sz w:val="20"/>
      <w:szCs w:val="20"/>
    </w:rPr>
  </w:style>
  <w:style w:type="character" w:customStyle="1" w:styleId="FootnoteTextChar">
    <w:name w:val="Footnote Text Char"/>
    <w:basedOn w:val="DefaultParagraphFont"/>
    <w:link w:val="FootnoteText"/>
    <w:rsid w:val="004F0907"/>
    <w:rPr>
      <w:rFonts w:ascii="Arial" w:eastAsia="Times New Roman" w:hAnsi="Arial" w:cs="Latha"/>
      <w:lang w:val="en-US" w:eastAsia="en-US" w:bidi="ta-IN"/>
    </w:rPr>
  </w:style>
  <w:style w:type="character" w:styleId="FootnoteReference">
    <w:name w:val="footnote reference"/>
    <w:basedOn w:val="DefaultParagraphFont"/>
    <w:rsid w:val="004F0907"/>
    <w:rPr>
      <w:vertAlign w:val="superscript"/>
    </w:rPr>
  </w:style>
  <w:style w:type="paragraph" w:styleId="EndnoteText">
    <w:name w:val="endnote text"/>
    <w:basedOn w:val="Normal"/>
    <w:link w:val="EndnoteTextChar"/>
    <w:rsid w:val="004F0907"/>
    <w:pPr>
      <w:spacing w:line="240" w:lineRule="auto"/>
    </w:pPr>
    <w:rPr>
      <w:sz w:val="20"/>
      <w:szCs w:val="20"/>
    </w:rPr>
  </w:style>
  <w:style w:type="character" w:customStyle="1" w:styleId="EndnoteTextChar">
    <w:name w:val="Endnote Text Char"/>
    <w:basedOn w:val="DefaultParagraphFont"/>
    <w:link w:val="EndnoteText"/>
    <w:rsid w:val="004F0907"/>
    <w:rPr>
      <w:rFonts w:ascii="Arial" w:eastAsia="Times New Roman" w:hAnsi="Arial" w:cs="Latha"/>
      <w:lang w:val="en-US" w:eastAsia="en-US" w:bidi="ta-IN"/>
    </w:rPr>
  </w:style>
  <w:style w:type="character" w:styleId="EndnoteReference">
    <w:name w:val="endnote reference"/>
    <w:basedOn w:val="DefaultParagraphFont"/>
    <w:rsid w:val="004F090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F0907"/>
    <w:pPr>
      <w:spacing w:line="240" w:lineRule="auto"/>
    </w:pPr>
    <w:rPr>
      <w:sz w:val="20"/>
      <w:szCs w:val="20"/>
    </w:rPr>
  </w:style>
  <w:style w:type="character" w:customStyle="1" w:styleId="FootnoteTextChar">
    <w:name w:val="Footnote Text Char"/>
    <w:basedOn w:val="DefaultParagraphFont"/>
    <w:link w:val="FootnoteText"/>
    <w:rsid w:val="004F0907"/>
    <w:rPr>
      <w:rFonts w:ascii="Arial" w:eastAsia="Times New Roman" w:hAnsi="Arial" w:cs="Latha"/>
      <w:lang w:val="en-US" w:eastAsia="en-US" w:bidi="ta-IN"/>
    </w:rPr>
  </w:style>
  <w:style w:type="character" w:styleId="FootnoteReference">
    <w:name w:val="footnote reference"/>
    <w:basedOn w:val="DefaultParagraphFont"/>
    <w:rsid w:val="004F0907"/>
    <w:rPr>
      <w:vertAlign w:val="superscript"/>
    </w:rPr>
  </w:style>
  <w:style w:type="paragraph" w:styleId="EndnoteText">
    <w:name w:val="endnote text"/>
    <w:basedOn w:val="Normal"/>
    <w:link w:val="EndnoteTextChar"/>
    <w:rsid w:val="004F0907"/>
    <w:pPr>
      <w:spacing w:line="240" w:lineRule="auto"/>
    </w:pPr>
    <w:rPr>
      <w:sz w:val="20"/>
      <w:szCs w:val="20"/>
    </w:rPr>
  </w:style>
  <w:style w:type="character" w:customStyle="1" w:styleId="EndnoteTextChar">
    <w:name w:val="Endnote Text Char"/>
    <w:basedOn w:val="DefaultParagraphFont"/>
    <w:link w:val="EndnoteText"/>
    <w:rsid w:val="004F0907"/>
    <w:rPr>
      <w:rFonts w:ascii="Arial" w:eastAsia="Times New Roman" w:hAnsi="Arial" w:cs="Latha"/>
      <w:lang w:val="en-US" w:eastAsia="en-US" w:bidi="ta-IN"/>
    </w:rPr>
  </w:style>
  <w:style w:type="character" w:styleId="EndnoteReference">
    <w:name w:val="endnote reference"/>
    <w:basedOn w:val="DefaultParagraphFont"/>
    <w:rsid w:val="004F09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7ab2e388e37445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726</ap:Words>
  <ap:Characters>2956</ap:Characters>
  <ap:Application>Microsoft Office Word</ap:Application>
  <ap:DocSecurity>0</ap:DocSecurity>
  <ap:Lines>47</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3675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21</dc:title>
  <dc:subject/>
  <dc:creator>David Waterson</dc:creator>
  <cp:keywords/>
  <dc:description/>
  <cp:lastModifiedBy>David Waterson</cp:lastModifiedBy>
  <cp:revision>3</cp:revision>
  <dcterms:created xsi:type="dcterms:W3CDTF">2019-08-04T14:31:00Z</dcterms:created>
  <dcterms:modified xsi:type="dcterms:W3CDTF">2019-08-04T14:31:00Z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21.docx</vt:lpwstr>
  </property>
  <property fmtid="{D5CDD505-2E9C-101B-9397-08002B2CF9AE}" pid="9" name="_TranslationDocumentId">
    <vt:i4>19504</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