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shd w:val="clear" w:color="auto" w:fill="ffffff"/>
        <w:rPr>
          <w:b/>
          <w:color w:val="000000"/>
          <w:sz w:val="28"/>
          <w:szCs w:val="28"/>
        </w:rPr>
        <w:pBdr>
          <w:top w:val="none" w:color="000000" w:sz="4" w:space="0"/>
          <w:left w:val="none" w:color="000000" w:sz="4" w:space="0"/>
          <w:bottom w:val="none" w:color="000000" w:sz="4" w:space="0"/>
          <w:right w:val="none" w:color="000000" w:sz="4" w:space="0"/>
          <w:between w:val="none" w:color="000000" w:sz="4" w:space="0"/>
        </w:pBdr>
      </w:pPr>
      <w:r>
        <w:rPr>
          <w:b/>
          <w:color w:val="000000"/>
          <w:sz w:val="28"/>
          <w:szCs w:val="28"/>
        </w:rPr>
        <w:t xml:space="preserve">Facts About Shubenacadie Residential School</w:t>
      </w:r>
      <w:r/>
    </w:p>
    <w:p>
      <w:pPr>
        <w:jc w:val="center"/>
        <w:spacing w:after="0" w:line="240" w:lineRule="auto"/>
        <w:shd w:val="clear" w:color="auto" w:fill="ffffff"/>
        <w:rPr>
          <w:b/>
          <w:color w:val="000000"/>
        </w:rPr>
        <w:pBdr>
          <w:top w:val="none" w:color="000000" w:sz="4" w:space="0"/>
          <w:left w:val="none" w:color="000000" w:sz="4" w:space="0"/>
          <w:bottom w:val="none" w:color="000000" w:sz="4" w:space="0"/>
          <w:right w:val="none" w:color="000000" w:sz="4" w:space="0"/>
          <w:between w:val="none" w:color="000000" w:sz="4" w:space="0"/>
        </w:pBdr>
      </w:pPr>
      <w:r>
        <w:rPr>
          <w:b/>
          <w:color w:val="000000"/>
        </w:rPr>
      </w:r>
      <w:r/>
    </w:p>
    <w:p>
      <w:pPr>
        <w:numPr>
          <w:ilvl w:val="0"/>
          <w:numId w:val="1"/>
        </w:num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t xml:space="preserve">From 1930 to 1967, children from Mi’kmaw and Wolastoqiyik communities in New Brunswick, Prince Edward Island, Nova Scotia, and the Gaspé Region of Québec left their homes to attend Shubenacadie Residential School in Hants County, Nova Scotia. </w:t>
      </w:r>
      <w:r/>
    </w:p>
    <w:p>
      <w:pPr>
        <w:ind w:left="720"/>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numPr>
          <w:ilvl w:val="0"/>
          <w:numId w:val="1"/>
        </w:num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000000"/>
        </w:rPr>
        <w:t xml:space="preserve">The minimum age for admission was 7 years-old, but many children started at a younger age, even as young as 3 years-old.</w:t>
      </w:r>
      <w:r/>
    </w:p>
    <w:p>
      <w:pPr>
        <w:ind w:left="720"/>
        <w:spacing w:after="0" w:line="240" w:lineRule="auto"/>
        <w:shd w:val="clear" w:color="auto" w:fill="ffffff"/>
        <w:tabs>
          <w:tab w:val="left" w:pos="1502" w:leader="none"/>
        </w:tabs>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tab/>
      </w:r>
      <w:r/>
    </w:p>
    <w:p>
      <w:pPr>
        <w:numPr>
          <w:ilvl w:val="0"/>
          <w:numId w:val="1"/>
        </w:num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000000"/>
        </w:rPr>
        <w:t xml:space="preserve">Canadian government officials called Indian Agents</w:t>
      </w:r>
      <w:r>
        <w:rPr>
          <w:color w:val="000000"/>
        </w:rPr>
        <w:t xml:space="preserve"> decided who would be sent to the school based on their judgment of a child being “underprivileged” or “neglected.” Their views did not always align with those of the community. Only a notation that a home was “unsuitable” was enough to remove the child.  </w:t>
      </w:r>
      <w:r/>
    </w:p>
    <w:p>
      <w:pPr>
        <w:numPr>
          <w:ilvl w:val="1"/>
          <w:numId w:val="1"/>
        </w:num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000000"/>
        </w:rPr>
        <w:t xml:space="preserve">Parents were required to sign permission f</w:t>
      </w:r>
      <w:r>
        <w:rPr>
          <w:color w:val="000000"/>
        </w:rPr>
        <w:t xml:space="preserve">orms. However, this rule could be waived by the agent. Some parents did intend for their children to attend residential school, but most parents, especially in the early years, did not have an accurate or complete understanding of what the school was like.</w:t>
      </w:r>
      <w:r/>
    </w:p>
    <w:p>
      <w:pPr>
        <w:ind w:left="1440"/>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numPr>
          <w:ilvl w:val="0"/>
          <w:numId w:val="1"/>
        </w:numPr>
        <w:spacing w:after="0" w:line="240" w:lineRule="auto"/>
      </w:pPr>
      <w:r>
        <w:t xml:space="preserve">Indian Agents decided if a child went home during any school break. Many</w:t>
      </w:r>
      <w:r>
        <w:t xml:space="preserve"> students stayed at the school for the full school year. The Indian Agent arranged for some students to be billeted with neighbouring Mi’kmaw communities, perhaps feeling that certain students wouldn’t return to the school if they were allowed to go home. </w:t>
      </w:r>
      <w:r/>
    </w:p>
    <w:p>
      <w:pPr>
        <w:numPr>
          <w:ilvl w:val="1"/>
          <w:numId w:val="1"/>
        </w:numPr>
        <w:spacing w:after="0" w:line="240" w:lineRule="auto"/>
      </w:pPr>
      <w:r>
        <w:t xml:space="preserve">Most parents didn’t realize that, once their children were admitted to the school, they might not see them again for several years—sometimes not until they finished school when they turned 16.</w:t>
      </w:r>
      <w:r/>
    </w:p>
    <w:p>
      <w:pPr>
        <w:ind w:left="720"/>
        <w:spacing w:after="0" w:line="240" w:lineRule="auto"/>
      </w:pPr>
      <w:r/>
      <w:r/>
    </w:p>
    <w:p>
      <w:pPr>
        <w:numPr>
          <w:ilvl w:val="0"/>
          <w:numId w:val="1"/>
        </w:numPr>
        <w:spacing w:after="0" w:line="240" w:lineRule="auto"/>
      </w:pPr>
      <w:r>
        <w:t xml:space="preserve">The school was intended to provide for both academic and vocational learning.  However, a much greater emphasis was placed on the vocational trades, and academics were notable substandard when compared to provincial schools.</w:t>
      </w:r>
      <w:r/>
    </w:p>
    <w:p>
      <w:pPr>
        <w:ind w:left="720"/>
        <w:spacing w:after="0" w:line="240" w:lineRule="auto"/>
      </w:pPr>
      <w:r>
        <w:t xml:space="preserve"> </w:t>
      </w:r>
      <w:r/>
    </w:p>
    <w:p>
      <w:pPr>
        <w:numPr>
          <w:ilvl w:val="0"/>
          <w:numId w:val="1"/>
        </w:num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t xml:space="preserve">The students, of all ages, were forced to spend many hours each day doing general labour towards the upkeep of the school. </w:t>
      </w:r>
      <w:r/>
    </w:p>
    <w:p>
      <w:pPr>
        <w:ind w:left="720"/>
        <w:spacing w:after="0" w:line="240" w:lineRule="auto"/>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numPr>
          <w:ilvl w:val="0"/>
          <w:numId w:val="1"/>
        </w:numPr>
        <w:spacing w:after="0" w:line="240" w:lineRule="auto"/>
      </w:pPr>
      <w:r>
        <w:t xml:space="preserve">Many students told of </w:t>
      </w:r>
      <w:r>
        <w:t xml:space="preserve">themselves</w:t>
      </w:r>
      <w:r>
        <w:t xml:space="preserve"> or other students having been physically, mentally, and/or sexually abused by many of the priests and nuns who ran the school. </w:t>
      </w:r>
      <w:r/>
    </w:p>
    <w:p>
      <w:pPr>
        <w:ind w:left="720"/>
        <w:spacing w:after="0" w:line="240" w:lineRule="auto"/>
      </w:pPr>
      <w:r/>
      <w:r/>
    </w:p>
    <w:p>
      <w:pPr>
        <w:numPr>
          <w:ilvl w:val="0"/>
          <w:numId w:val="1"/>
        </w:numPr>
        <w:spacing w:after="0" w:line="240" w:lineRule="auto"/>
      </w:pPr>
      <w:r>
        <w:t xml:space="preserve">Shubenacadie Residential school closed in 1967; the building burned to the ground under mysterious circumstances in 1986.</w:t>
      </w:r>
      <w:r/>
    </w:p>
    <w:p>
      <w:pPr>
        <w:ind w:left="720"/>
        <w:spacing w:after="0" w:line="240" w:lineRule="auto"/>
      </w:pPr>
      <w:r/>
      <w:r/>
    </w:p>
    <w:p>
      <w:pPr>
        <w:numPr>
          <w:ilvl w:val="0"/>
          <w:numId w:val="1"/>
        </w:num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t xml:space="preserve">From 2008 to 2013, survivors of residential school told their stories as part of the </w:t>
      </w:r>
      <w:r>
        <w:rPr>
          <w:i/>
          <w:color w:val="222222"/>
        </w:rPr>
        <w:t xml:space="preserve">Truth and </w:t>
      </w:r>
      <w:r>
        <w:rPr>
          <w:i/>
          <w:color w:val="222222"/>
        </w:rPr>
        <w:t xml:space="preserve">Reconciliation</w:t>
      </w:r>
      <w:r>
        <w:rPr>
          <w:i/>
          <w:color w:val="222222"/>
        </w:rPr>
        <w:t xml:space="preserve"> Report</w:t>
      </w:r>
      <w:r>
        <w:rPr>
          <w:color w:val="222222"/>
        </w:rPr>
        <w:t xml:space="preserve">.  These stories, including those shared by survivors from Shubenacadie Residential school, are archived at the National Centre for Truth and </w:t>
      </w:r>
      <w:r>
        <w:rPr>
          <w:color w:val="222222"/>
        </w:rPr>
        <w:t xml:space="preserve">Reconciliation</w:t>
      </w:r>
      <w:r>
        <w:rPr>
          <w:color w:val="222222"/>
        </w:rPr>
        <w:t xml:space="preserve"> in Manitoba. </w:t>
      </w:r>
      <w:hyperlink r:id="rId10" w:tooltip="http://nctr.ca/map.php" w:history="1">
        <w:r>
          <w:rPr>
            <w:color w:val="0563C1"/>
            <w:u w:val="single"/>
          </w:rPr>
          <w:t xml:space="preserve">nctr.ca/</w:t>
        </w:r>
        <w:r>
          <w:rPr>
            <w:color w:val="0563C1"/>
            <w:u w:val="single"/>
          </w:rPr>
          <w:t xml:space="preserve">map.php</w:t>
        </w:r>
      </w:hyperlink>
      <w:r>
        <w:rPr>
          <w:color w:val="222222"/>
        </w:rPr>
        <w:t xml:space="preserve"> </w:t>
      </w:r>
      <w:r/>
    </w:p>
    <w:p>
      <w:pPr>
        <w:ind w:left="720"/>
        <w:spacing w:after="0" w:line="240" w:lineRule="auto"/>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numPr>
          <w:ilvl w:val="0"/>
          <w:numId w:val="1"/>
        </w:numPr>
        <w:spacing w:after="0" w:line="240" w:lineRule="auto"/>
      </w:pPr>
      <w:r>
        <w:t xml:space="preserve">The government’s intention behind establishing residential school had been to “kill the Indian in the child.”  As noted by Senator Murray Sinclair, who sat as the Chair of the Truth and </w:t>
      </w:r>
      <w:r>
        <w:t xml:space="preserve">Reconciliation</w:t>
      </w:r>
      <w:r>
        <w:t xml:space="preserve"> Commission, this amounted to </w:t>
      </w:r>
      <w:r>
        <w:rPr>
          <w:i/>
        </w:rPr>
        <w:t xml:space="preserve">cultural genocide</w:t>
      </w:r>
      <w:r>
        <w:t xml:space="preserve">. </w:t>
      </w:r>
      <w:r/>
    </w:p>
    <w:p>
      <w:pPr>
        <w:jc w:val="center"/>
        <w:spacing w:after="0" w:line="240" w:lineRule="auto"/>
        <w:shd w:val="clear" w:color="auto" w:fill="ffffff"/>
        <w:rPr>
          <w:b/>
          <w:color w:val="222222"/>
        </w:rPr>
        <w:pBdr>
          <w:top w:val="none" w:color="000000" w:sz="4" w:space="0"/>
          <w:left w:val="none" w:color="000000" w:sz="4" w:space="0"/>
          <w:bottom w:val="none" w:color="000000" w:sz="4" w:space="0"/>
          <w:right w:val="none" w:color="000000" w:sz="4" w:space="0"/>
          <w:between w:val="none" w:color="000000" w:sz="4" w:space="0"/>
        </w:pBdr>
      </w:pPr>
      <w:r>
        <w:rPr>
          <w:b/>
          <w:color w:val="222222"/>
        </w:rPr>
      </w:r>
      <w:r/>
    </w:p>
    <w:p>
      <w:pPr>
        <w:jc w:val="center"/>
        <w:spacing w:after="0" w:line="240" w:lineRule="auto"/>
        <w:shd w:val="clear" w:color="auto" w:fill="ffffff"/>
        <w:rPr>
          <w:b/>
          <w:color w:val="222222"/>
        </w:rPr>
        <w:pBdr>
          <w:top w:val="none" w:color="000000" w:sz="4" w:space="0"/>
          <w:left w:val="none" w:color="000000" w:sz="4" w:space="0"/>
          <w:bottom w:val="none" w:color="000000" w:sz="4" w:space="0"/>
          <w:right w:val="none" w:color="000000" w:sz="4" w:space="0"/>
          <w:between w:val="none" w:color="000000" w:sz="4" w:space="0"/>
        </w:pBdr>
      </w:pPr>
      <w:r>
        <w:rPr>
          <w:b/>
          <w:color w:val="222222"/>
        </w:rPr>
      </w:r>
      <w:r/>
    </w:p>
    <w:p>
      <w:pPr>
        <w:jc w:val="center"/>
        <w:spacing w:after="0" w:line="240" w:lineRule="auto"/>
        <w:shd w:val="clear" w:color="auto" w:fill="ffffff"/>
        <w:rPr>
          <w:b/>
          <w:color w:val="222222"/>
        </w:rPr>
        <w:pBdr>
          <w:top w:val="none" w:color="000000" w:sz="4" w:space="0"/>
          <w:left w:val="none" w:color="000000" w:sz="4" w:space="0"/>
          <w:bottom w:val="none" w:color="000000" w:sz="4" w:space="0"/>
          <w:right w:val="none" w:color="000000" w:sz="4" w:space="0"/>
          <w:between w:val="none" w:color="000000" w:sz="4" w:space="0"/>
        </w:pBdr>
      </w:pPr>
      <w:r>
        <w:rPr>
          <w:b/>
          <w:color w:val="222222"/>
        </w:rPr>
      </w:r>
      <w:r/>
    </w:p>
    <w:p>
      <w:pPr>
        <w:jc w:val="center"/>
        <w:spacing w:after="0" w:line="240" w:lineRule="auto"/>
        <w:shd w:val="clear" w:color="auto" w:fill="ffffff"/>
        <w:rPr>
          <w:b/>
          <w:color w:val="222222"/>
        </w:rPr>
        <w:pBdr>
          <w:top w:val="none" w:color="000000" w:sz="4" w:space="0"/>
          <w:left w:val="none" w:color="000000" w:sz="4" w:space="0"/>
          <w:bottom w:val="none" w:color="000000" w:sz="4" w:space="0"/>
          <w:right w:val="none" w:color="000000" w:sz="4" w:space="0"/>
          <w:between w:val="none" w:color="000000" w:sz="4" w:space="0"/>
        </w:pBdr>
      </w:pPr>
      <w:r>
        <w:rPr>
          <w:b/>
          <w:color w:val="222222"/>
        </w:rPr>
      </w:r>
      <w:r/>
    </w:p>
    <w:p>
      <w:pPr>
        <w:jc w:val="center"/>
        <w:spacing w:after="0" w:line="240" w:lineRule="auto"/>
        <w:shd w:val="clear" w:color="auto" w:fill="ffffff"/>
        <w:rPr>
          <w:b/>
          <w:color w:val="222222"/>
          <w:sz w:val="28"/>
          <w:szCs w:val="28"/>
        </w:rPr>
        <w:pBdr>
          <w:top w:val="none" w:color="000000" w:sz="4" w:space="0"/>
          <w:left w:val="none" w:color="000000" w:sz="4" w:space="0"/>
          <w:bottom w:val="none" w:color="000000" w:sz="4" w:space="0"/>
          <w:right w:val="none" w:color="000000" w:sz="4" w:space="0"/>
          <w:between w:val="none" w:color="000000" w:sz="4" w:space="0"/>
        </w:pBdr>
      </w:pPr>
      <w:r>
        <w:rPr>
          <w:b/>
          <w:color w:val="222222"/>
          <w:sz w:val="28"/>
          <w:szCs w:val="28"/>
        </w:rPr>
        <w:t xml:space="preserve">Shubenacadie Residential school </w:t>
      </w:r>
      <w:r/>
    </w:p>
    <w:p>
      <w:pPr>
        <w:jc w:val="center"/>
        <w:spacing w:after="0" w:line="240" w:lineRule="auto"/>
        <w:shd w:val="clear" w:color="auto" w:fill="ffffff"/>
        <w:rPr>
          <w:color w:val="222222"/>
          <w:sz w:val="28"/>
          <w:szCs w:val="28"/>
        </w:rPr>
        <w:pBdr>
          <w:top w:val="none" w:color="000000" w:sz="4" w:space="0"/>
          <w:left w:val="none" w:color="000000" w:sz="4" w:space="0"/>
          <w:bottom w:val="none" w:color="000000" w:sz="4" w:space="0"/>
          <w:right w:val="none" w:color="000000" w:sz="4" w:space="0"/>
          <w:between w:val="none" w:color="000000" w:sz="4" w:space="0"/>
        </w:pBdr>
      </w:pPr>
      <w:r>
        <w:rPr>
          <w:b/>
          <w:color w:val="222222"/>
          <w:sz w:val="28"/>
          <w:szCs w:val="28"/>
        </w:rPr>
        <w:t xml:space="preserve">1930 – 1967</w:t>
      </w:r>
      <w:r>
        <w:rPr>
          <w:color w:val="222222"/>
          <w:sz w:val="28"/>
          <w:szCs w:val="28"/>
        </w:rPr>
        <w:t xml:space="preserve">  </w:t>
      </w:r>
      <w:r/>
    </w:p>
    <w:p>
      <w:pPr>
        <w:jc w:val="cente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jc w:val="cente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jc w:val="cente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jc w:val="cente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jc w:val="cente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t xml:space="preserve">      </w:t>
      </w:r>
      <w:r>
        <w:rPr>
          <w:rFonts w:eastAsia="Times New Roman"/>
          <w:color w:val="000000"/>
        </w:rPr>
        <mc:AlternateContent>
          <mc:Choice Requires="wpg">
            <w:drawing>
              <wp:inline xmlns:wp="http://schemas.openxmlformats.org/drawingml/2006/wordprocessingDrawing" distT="0" distB="0" distL="0" distR="0">
                <wp:extent cx="6158036" cy="3866100"/>
                <wp:effectExtent l="0" t="0" r="0" b="0"/>
                <wp:docPr id="1" name="image11.jpg" descr="https://upload.wikimedia.org/wikipedia/commons/6/64/ShubenacadieIndianResidentialSchool1930NovaScotiaMuseum.png" hidden="0"/>
                <wp:cNvGraphicFramePr/>
                <a:graphic xmlns:a="http://schemas.openxmlformats.org/drawingml/2006/main">
                  <a:graphicData uri="http://schemas.openxmlformats.org/drawingml/2006/picture">
                    <pic:pic xmlns:pic="http://schemas.openxmlformats.org/drawingml/2006/picture">
                      <pic:nvPicPr>
                        <pic:cNvPr id="0" name="image11.jpg" descr="https://upload.wikimedia.org/wikipedia/commons/6/64/ShubenacadieIndianResidentialSchool1930NovaScotiaMuseum.png" hidden="0"/>
                        <pic:cNvPicPr/>
                        <pic:nvPr isPhoto="0" userDrawn="0"/>
                      </pic:nvPicPr>
                      <pic:blipFill>
                        <a:blip r:embed="rId11"/>
                        <a:stretch/>
                      </pic:blipFill>
                      <pic:spPr bwMode="auto">
                        <a:xfrm>
                          <a:off x="0" y="0"/>
                          <a:ext cx="6158036" cy="38661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484.9pt;height:304.4pt;">
                <v:path textboxrect="0,0,0,0"/>
                <v:imagedata r:id="rId11" o:title=""/>
              </v:shape>
            </w:pict>
          </mc:Fallback>
        </mc:AlternateContent>
      </w:r>
      <w:r>
        <w:rPr>
          <w:color w:val="222222"/>
        </w:rPr>
        <w:t xml:space="preserve">           </w:t>
      </w:r>
      <w:r/>
    </w:p>
    <w:p>
      <w:p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spacing w:after="0" w:line="240" w:lineRule="auto"/>
        <w:shd w:val="clear" w:color="auto" w:fill="ffffff"/>
        <w:rPr>
          <w:color w:val="222222"/>
        </w:rPr>
        <w:pBdr>
          <w:top w:val="none" w:color="000000" w:sz="4" w:space="0"/>
          <w:left w:val="none" w:color="000000" w:sz="4" w:space="0"/>
          <w:bottom w:val="none" w:color="000000" w:sz="4" w:space="0"/>
          <w:right w:val="none" w:color="000000" w:sz="4" w:space="0"/>
          <w:between w:val="none" w:color="000000" w:sz="4" w:space="0"/>
        </w:pBdr>
      </w:pPr>
      <w:r>
        <w:rPr>
          <w:color w:val="222222"/>
        </w:rPr>
      </w:r>
      <w:r/>
    </w:p>
    <w:p>
      <w:pPr>
        <w:spacing w:after="0" w:line="240" w:lineRule="auto"/>
      </w:pPr>
      <w:r/>
      <w:r/>
    </w:p>
    <w:p>
      <w:r/>
      <w:r/>
    </w:p>
    <w:p>
      <w:r/>
      <w:r/>
    </w:p>
    <w:p>
      <w:r/>
      <w:r/>
    </w:p>
    <w:p>
      <w:pPr>
        <w:spacing w:after="0" w:line="240" w:lineRule="auto"/>
      </w:pPr>
      <w:r/>
      <w:r/>
    </w:p>
    <w:p>
      <w:pPr>
        <w:spacing w:after="0" w:line="240" w:lineRule="auto"/>
      </w:pPr>
      <w:r/>
      <w:r/>
    </w:p>
    <w:sectPr>
      <w:footerReference w:type="default" r:id="rId9"/>
      <w:footnotePr/>
      <w:endnotePr/>
      <w:type w:val="nextPage"/>
      <w:pgSz w:w="12240" w:h="15840" w:orient="portrait"/>
      <w:pgMar w:top="1440" w:right="1440" w:bottom="1440" w:left="1440" w:header="708" w:footer="397"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309020205020404"/>
  </w:font>
  <w:font w:name="noto sans symbols">
    <w:panose1 w:val="02000503000000000000"/>
  </w:font>
  <w:font w:name="Calibri">
    <w:panose1 w:val="020F05020202040302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53"/>
    </w:pPr>
    <w:r>
      <w:t xml:space="preserve">Compiled by Mi’kmaw Services Branch, NS EECD</w:t>
    </w:r>
    <w:r>
      <w:tab/>
      <w:t xml:space="preserve">                                                                    September 2018</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ascii="Noto Sans Symbols" w:hAnsi="Noto Sans Symbols" w:cs="Noto Sans Symbols" w:eastAsia="Noto Sans Symbols"/>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Noto Sans Symbols" w:hAnsi="Noto Sans Symbols" w:cs="Noto Sans Symbols" w:eastAsia="Noto Sans Symbols"/>
      </w:rPr>
    </w:lvl>
    <w:lvl w:ilvl="3">
      <w:start w:val="1"/>
      <w:numFmt w:val="bullet"/>
      <w:isLgl w:val="false"/>
      <w:suff w:val="tab"/>
      <w:lvlText w:val="●"/>
      <w:lvlJc w:val="left"/>
      <w:pPr>
        <w:ind w:left="2880" w:hanging="360"/>
      </w:pPr>
      <w:rPr>
        <w:rFonts w:ascii="Noto Sans Symbols" w:hAnsi="Noto Sans Symbols" w:cs="Noto Sans Symbols" w:eastAsia="Noto Sans Symbols"/>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Noto Sans Symbols" w:hAnsi="Noto Sans Symbols" w:cs="Noto Sans Symbols" w:eastAsia="Noto Sans Symbols"/>
      </w:rPr>
    </w:lvl>
    <w:lvl w:ilvl="6">
      <w:start w:val="1"/>
      <w:numFmt w:val="bullet"/>
      <w:isLgl w:val="false"/>
      <w:suff w:val="tab"/>
      <w:lvlText w:val="●"/>
      <w:lvlJc w:val="left"/>
      <w:pPr>
        <w:ind w:left="5040" w:hanging="360"/>
      </w:pPr>
      <w:rPr>
        <w:rFonts w:ascii="Noto Sans Symbols" w:hAnsi="Noto Sans Symbols" w:cs="Noto Sans Symbols" w:eastAsia="Noto Sans Symbols"/>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Noto Sans Symbols" w:hAnsi="Noto Sans Symbols" w:cs="Noto Sans Symbols" w:eastAsia="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dispDef m:val="true"/>
    <m:lMargin m:val="0"/>
    <m:rMargin m:val="0"/>
    <m:defJc m:val="centerGroup"/>
    <m:wrapIndent m:val="1440"/>
    <m:intLim m:val="subSup"/>
    <m:naryLim m:val="undOvr"/>
  </m:mathPr>
  <w:themeFontLang w:eastAsia="zh-CN"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hint="default"/>
        <w:sz w:val="22"/>
        <w:szCs w:val="22"/>
        <w:lang w:val="en-CA" w:bidi="ar-SA" w:eastAsia="en-US"/>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647"/>
    <w:next w:val="647"/>
    <w:link w:val="12"/>
    <w:uiPriority w:val="9"/>
    <w:qFormat/>
    <w:pPr>
      <w:keepLines/>
      <w:keepNext/>
      <w:spacing w:before="480" w:after="200"/>
      <w:outlineLvl w:val="0"/>
    </w:pPr>
    <w:rPr>
      <w:rFonts w:ascii="Arial" w:hAnsi="Arial" w:cs="Arial" w:eastAsia="Arial"/>
      <w:sz w:val="40"/>
      <w:szCs w:val="40"/>
    </w:rPr>
  </w:style>
  <w:style w:type="character" w:styleId="12">
    <w:name w:val="Heading 1 Char"/>
    <w:basedOn w:val="648"/>
    <w:link w:val="11"/>
    <w:uiPriority w:val="9"/>
    <w:rPr>
      <w:rFonts w:ascii="Arial" w:hAnsi="Arial" w:cs="Arial" w:eastAsia="Arial"/>
      <w:sz w:val="40"/>
      <w:szCs w:val="40"/>
    </w:rPr>
  </w:style>
  <w:style w:type="paragraph" w:styleId="13">
    <w:name w:val="Heading 2"/>
    <w:basedOn w:val="647"/>
    <w:next w:val="647"/>
    <w:link w:val="14"/>
    <w:uiPriority w:val="9"/>
    <w:unhideWhenUsed/>
    <w:qFormat/>
    <w:pPr>
      <w:keepLines/>
      <w:keepNext/>
      <w:spacing w:before="360" w:after="200"/>
      <w:outlineLvl w:val="1"/>
    </w:pPr>
    <w:rPr>
      <w:rFonts w:ascii="Arial" w:hAnsi="Arial" w:cs="Arial" w:eastAsia="Arial"/>
      <w:sz w:val="34"/>
    </w:rPr>
  </w:style>
  <w:style w:type="character" w:styleId="14">
    <w:name w:val="Heading 2 Char"/>
    <w:basedOn w:val="648"/>
    <w:link w:val="13"/>
    <w:uiPriority w:val="9"/>
    <w:rPr>
      <w:rFonts w:ascii="Arial" w:hAnsi="Arial" w:cs="Arial" w:eastAsia="Arial"/>
      <w:sz w:val="34"/>
    </w:rPr>
  </w:style>
  <w:style w:type="paragraph" w:styleId="15">
    <w:name w:val="Heading 3"/>
    <w:basedOn w:val="647"/>
    <w:next w:val="647"/>
    <w:link w:val="16"/>
    <w:uiPriority w:val="9"/>
    <w:unhideWhenUsed/>
    <w:qFormat/>
    <w:pPr>
      <w:keepLines/>
      <w:keepNext/>
      <w:spacing w:before="320" w:after="200"/>
      <w:outlineLvl w:val="2"/>
    </w:pPr>
    <w:rPr>
      <w:rFonts w:ascii="Arial" w:hAnsi="Arial" w:cs="Arial" w:eastAsia="Arial"/>
      <w:sz w:val="30"/>
      <w:szCs w:val="30"/>
    </w:rPr>
  </w:style>
  <w:style w:type="character" w:styleId="16">
    <w:name w:val="Heading 3 Char"/>
    <w:basedOn w:val="648"/>
    <w:link w:val="15"/>
    <w:uiPriority w:val="9"/>
    <w:rPr>
      <w:rFonts w:ascii="Arial" w:hAnsi="Arial" w:cs="Arial" w:eastAsia="Arial"/>
      <w:sz w:val="30"/>
      <w:szCs w:val="30"/>
    </w:rPr>
  </w:style>
  <w:style w:type="paragraph" w:styleId="17">
    <w:name w:val="Heading 4"/>
    <w:basedOn w:val="647"/>
    <w:next w:val="647"/>
    <w:link w:val="18"/>
    <w:uiPriority w:val="9"/>
    <w:unhideWhenUsed/>
    <w:qFormat/>
    <w:pPr>
      <w:keepLines/>
      <w:keepNext/>
      <w:spacing w:before="320" w:after="200"/>
      <w:outlineLvl w:val="3"/>
    </w:pPr>
    <w:rPr>
      <w:rFonts w:ascii="Arial" w:hAnsi="Arial" w:cs="Arial" w:eastAsia="Arial"/>
      <w:b/>
      <w:bCs/>
      <w:sz w:val="26"/>
      <w:szCs w:val="26"/>
    </w:rPr>
  </w:style>
  <w:style w:type="character" w:styleId="18">
    <w:name w:val="Heading 4 Char"/>
    <w:basedOn w:val="648"/>
    <w:link w:val="17"/>
    <w:uiPriority w:val="9"/>
    <w:rPr>
      <w:rFonts w:ascii="Arial" w:hAnsi="Arial" w:cs="Arial" w:eastAsia="Arial"/>
      <w:b/>
      <w:bCs/>
      <w:sz w:val="26"/>
      <w:szCs w:val="26"/>
    </w:rPr>
  </w:style>
  <w:style w:type="paragraph" w:styleId="19">
    <w:name w:val="Heading 5"/>
    <w:basedOn w:val="647"/>
    <w:next w:val="647"/>
    <w:link w:val="20"/>
    <w:uiPriority w:val="9"/>
    <w:unhideWhenUsed/>
    <w:qFormat/>
    <w:pPr>
      <w:keepLines/>
      <w:keepNext/>
      <w:spacing w:before="320" w:after="200"/>
      <w:outlineLvl w:val="4"/>
    </w:pPr>
    <w:rPr>
      <w:rFonts w:ascii="Arial" w:hAnsi="Arial" w:cs="Arial" w:eastAsia="Arial"/>
      <w:b/>
      <w:bCs/>
      <w:sz w:val="24"/>
      <w:szCs w:val="24"/>
    </w:rPr>
  </w:style>
  <w:style w:type="character" w:styleId="20">
    <w:name w:val="Heading 5 Char"/>
    <w:basedOn w:val="648"/>
    <w:link w:val="19"/>
    <w:uiPriority w:val="9"/>
    <w:rPr>
      <w:rFonts w:ascii="Arial" w:hAnsi="Arial" w:cs="Arial" w:eastAsia="Arial"/>
      <w:b/>
      <w:bCs/>
      <w:sz w:val="24"/>
      <w:szCs w:val="24"/>
    </w:rPr>
  </w:style>
  <w:style w:type="paragraph" w:styleId="21">
    <w:name w:val="Heading 6"/>
    <w:basedOn w:val="647"/>
    <w:next w:val="647"/>
    <w:link w:val="22"/>
    <w:uiPriority w:val="9"/>
    <w:unhideWhenUsed/>
    <w:qFormat/>
    <w:pPr>
      <w:keepLines/>
      <w:keepNext/>
      <w:spacing w:before="320" w:after="200"/>
      <w:outlineLvl w:val="5"/>
    </w:pPr>
    <w:rPr>
      <w:rFonts w:ascii="Arial" w:hAnsi="Arial" w:cs="Arial" w:eastAsia="Arial"/>
      <w:b/>
      <w:bCs/>
      <w:sz w:val="22"/>
      <w:szCs w:val="22"/>
    </w:rPr>
  </w:style>
  <w:style w:type="character" w:styleId="22">
    <w:name w:val="Heading 6 Char"/>
    <w:basedOn w:val="648"/>
    <w:link w:val="21"/>
    <w:uiPriority w:val="9"/>
    <w:rPr>
      <w:rFonts w:ascii="Arial" w:hAnsi="Arial" w:cs="Arial" w:eastAsia="Arial"/>
      <w:b/>
      <w:bCs/>
      <w:sz w:val="22"/>
      <w:szCs w:val="22"/>
    </w:rPr>
  </w:style>
  <w:style w:type="paragraph" w:styleId="23">
    <w:name w:val="Heading 7"/>
    <w:basedOn w:val="647"/>
    <w:next w:val="647"/>
    <w:link w:val="24"/>
    <w:uiPriority w:val="9"/>
    <w:unhideWhenUsed/>
    <w:qFormat/>
    <w:pPr>
      <w:keepLines/>
      <w:keepNext/>
      <w:spacing w:before="320" w:after="200"/>
      <w:outlineLvl w:val="6"/>
    </w:pPr>
    <w:rPr>
      <w:rFonts w:ascii="Arial" w:hAnsi="Arial" w:cs="Arial" w:eastAsia="Arial"/>
      <w:b/>
      <w:bCs/>
      <w:i/>
      <w:iCs/>
      <w:sz w:val="22"/>
      <w:szCs w:val="22"/>
    </w:rPr>
  </w:style>
  <w:style w:type="character" w:styleId="24">
    <w:name w:val="Heading 7 Char"/>
    <w:basedOn w:val="648"/>
    <w:link w:val="23"/>
    <w:uiPriority w:val="9"/>
    <w:rPr>
      <w:rFonts w:ascii="Arial" w:hAnsi="Arial" w:cs="Arial" w:eastAsia="Arial"/>
      <w:b/>
      <w:bCs/>
      <w:i/>
      <w:iCs/>
      <w:sz w:val="22"/>
      <w:szCs w:val="22"/>
    </w:rPr>
  </w:style>
  <w:style w:type="paragraph" w:styleId="25">
    <w:name w:val="Heading 8"/>
    <w:basedOn w:val="647"/>
    <w:next w:val="647"/>
    <w:link w:val="26"/>
    <w:uiPriority w:val="9"/>
    <w:unhideWhenUsed/>
    <w:qFormat/>
    <w:pPr>
      <w:keepLines/>
      <w:keepNext/>
      <w:spacing w:before="320" w:after="200"/>
      <w:outlineLvl w:val="7"/>
    </w:pPr>
    <w:rPr>
      <w:rFonts w:ascii="Arial" w:hAnsi="Arial" w:cs="Arial" w:eastAsia="Arial"/>
      <w:i/>
      <w:iCs/>
      <w:sz w:val="22"/>
      <w:szCs w:val="22"/>
    </w:rPr>
  </w:style>
  <w:style w:type="character" w:styleId="26">
    <w:name w:val="Heading 8 Char"/>
    <w:basedOn w:val="648"/>
    <w:link w:val="25"/>
    <w:uiPriority w:val="9"/>
    <w:rPr>
      <w:rFonts w:ascii="Arial" w:hAnsi="Arial" w:cs="Arial" w:eastAsia="Arial"/>
      <w:i/>
      <w:iCs/>
      <w:sz w:val="22"/>
      <w:szCs w:val="22"/>
    </w:rPr>
  </w:style>
  <w:style w:type="paragraph" w:styleId="27">
    <w:name w:val="Heading 9"/>
    <w:basedOn w:val="647"/>
    <w:next w:val="647"/>
    <w:link w:val="28"/>
    <w:uiPriority w:val="9"/>
    <w:unhideWhenUsed/>
    <w:qFormat/>
    <w:pPr>
      <w:keepLines/>
      <w:keepNext/>
      <w:spacing w:before="320" w:after="200"/>
      <w:outlineLvl w:val="8"/>
    </w:pPr>
    <w:rPr>
      <w:rFonts w:ascii="Arial" w:hAnsi="Arial" w:cs="Arial" w:eastAsia="Arial"/>
      <w:i/>
      <w:iCs/>
      <w:sz w:val="21"/>
      <w:szCs w:val="21"/>
    </w:rPr>
  </w:style>
  <w:style w:type="character" w:styleId="28">
    <w:name w:val="Heading 9 Char"/>
    <w:basedOn w:val="648"/>
    <w:link w:val="27"/>
    <w:uiPriority w:val="9"/>
    <w:rPr>
      <w:rFonts w:ascii="Arial" w:hAnsi="Arial" w:cs="Arial" w:eastAsia="Arial"/>
      <w:i/>
      <w:iCs/>
      <w:sz w:val="21"/>
      <w:szCs w:val="21"/>
    </w:rPr>
  </w:style>
  <w:style w:type="paragraph" w:styleId="29">
    <w:name w:val="List Paragraph"/>
    <w:basedOn w:val="647"/>
    <w:uiPriority w:val="34"/>
    <w:qFormat/>
    <w:pPr>
      <w:contextualSpacing/>
      <w:ind w:left="720"/>
    </w:pPr>
  </w:style>
  <w:style w:type="paragraph" w:styleId="31">
    <w:name w:val="No Spacing"/>
    <w:uiPriority w:val="1"/>
    <w:qFormat/>
    <w:pPr>
      <w:spacing w:before="0" w:after="0" w:line="240" w:lineRule="auto"/>
    </w:pPr>
  </w:style>
  <w:style w:type="paragraph" w:styleId="32">
    <w:name w:val="Title"/>
    <w:basedOn w:val="647"/>
    <w:next w:val="647"/>
    <w:link w:val="33"/>
    <w:uiPriority w:val="10"/>
    <w:qFormat/>
    <w:pPr>
      <w:contextualSpacing/>
      <w:spacing w:before="300" w:after="200"/>
    </w:pPr>
    <w:rPr>
      <w:sz w:val="48"/>
      <w:szCs w:val="48"/>
    </w:rPr>
  </w:style>
  <w:style w:type="character" w:styleId="33">
    <w:name w:val="Title Char"/>
    <w:basedOn w:val="648"/>
    <w:link w:val="32"/>
    <w:uiPriority w:val="10"/>
    <w:rPr>
      <w:sz w:val="48"/>
      <w:szCs w:val="48"/>
    </w:rPr>
  </w:style>
  <w:style w:type="paragraph" w:styleId="34">
    <w:name w:val="Subtitle"/>
    <w:basedOn w:val="647"/>
    <w:next w:val="647"/>
    <w:link w:val="35"/>
    <w:uiPriority w:val="11"/>
    <w:qFormat/>
    <w:pPr>
      <w:spacing w:before="200" w:after="200"/>
    </w:pPr>
    <w:rPr>
      <w:sz w:val="24"/>
      <w:szCs w:val="24"/>
    </w:rPr>
  </w:style>
  <w:style w:type="character" w:styleId="35">
    <w:name w:val="Subtitle Char"/>
    <w:basedOn w:val="648"/>
    <w:link w:val="34"/>
    <w:uiPriority w:val="11"/>
    <w:rPr>
      <w:sz w:val="24"/>
      <w:szCs w:val="24"/>
    </w:rPr>
  </w:style>
  <w:style w:type="paragraph" w:styleId="36">
    <w:name w:val="Quote"/>
    <w:basedOn w:val="647"/>
    <w:next w:val="647"/>
    <w:link w:val="37"/>
    <w:uiPriority w:val="29"/>
    <w:qFormat/>
    <w:pPr>
      <w:ind w:left="720" w:right="720"/>
    </w:pPr>
    <w:rPr>
      <w:i/>
    </w:rPr>
  </w:style>
  <w:style w:type="character" w:styleId="37">
    <w:name w:val="Quote Char"/>
    <w:link w:val="36"/>
    <w:uiPriority w:val="29"/>
    <w:rPr>
      <w:i/>
    </w:rPr>
  </w:style>
  <w:style w:type="paragraph" w:styleId="38">
    <w:name w:val="Intense Quote"/>
    <w:basedOn w:val="647"/>
    <w:next w:val="647"/>
    <w:link w:val="3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39">
    <w:name w:val="Intense Quote Char"/>
    <w:link w:val="38"/>
    <w:uiPriority w:val="30"/>
    <w:rPr>
      <w:i/>
    </w:rPr>
  </w:style>
  <w:style w:type="paragraph" w:styleId="44">
    <w:name w:val="Caption"/>
    <w:basedOn w:val="647"/>
    <w:next w:val="647"/>
    <w:uiPriority w:val="35"/>
    <w:semiHidden/>
    <w:unhideWhenUsed/>
    <w:qFormat/>
    <w:pPr>
      <w:spacing w:line="276" w:lineRule="auto"/>
    </w:pPr>
    <w:rPr>
      <w:b/>
      <w:bCs/>
      <w:color w:val="4F81BD" w:themeColor="accent1"/>
      <w:sz w:val="18"/>
      <w:szCs w:val="18"/>
    </w:rPr>
  </w:style>
  <w:style w:type="character" w:styleId="45">
    <w:name w:val="Caption Char"/>
    <w:basedOn w:val="44"/>
    <w:link w:val="653"/>
    <w:uiPriority w:val="99"/>
  </w:style>
  <w:style w:type="table" w:styleId="46">
    <w:name w:val="Table Grid"/>
    <w:basedOn w:val="649"/>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7">
    <w:name w:val="Table Grid Light"/>
    <w:basedOn w:val="64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8">
    <w:name w:val="Plain Table 1"/>
    <w:basedOn w:val="64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9">
    <w:name w:val="Plain Table 2"/>
    <w:basedOn w:val="649"/>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3"/>
    <w:basedOn w:val="64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1">
    <w:name w:val="Plain Table 4"/>
    <w:basedOn w:val="64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2">
    <w:name w:val="Plain Table 5"/>
    <w:basedOn w:val="64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3">
    <w:name w:val="Grid Table 1 Light"/>
    <w:basedOn w:val="649"/>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4">
    <w:name w:val="Grid Table 1 Light - Accent 1"/>
    <w:basedOn w:val="64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5">
    <w:name w:val="Grid Table 1 Light - Accent 2"/>
    <w:basedOn w:val="64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6">
    <w:name w:val="Grid Table 1 Light - Accent 3"/>
    <w:basedOn w:val="64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7">
    <w:name w:val="Grid Table 1 Light - Accent 4"/>
    <w:basedOn w:val="64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58">
    <w:name w:val="Grid Table 1 Light - Accent 5"/>
    <w:basedOn w:val="64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59">
    <w:name w:val="Grid Table 1 Light - Accent 6"/>
    <w:basedOn w:val="64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0">
    <w:name w:val="Grid Table 2"/>
    <w:basedOn w:val="64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1">
    <w:name w:val="Grid Table 2 - Accent 1"/>
    <w:basedOn w:val="64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2">
    <w:name w:val="Grid Table 2 - Accent 2"/>
    <w:basedOn w:val="64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3">
    <w:name w:val="Grid Table 2 - Accent 3"/>
    <w:basedOn w:val="64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4">
    <w:name w:val="Grid Table 2 - Accent 4"/>
    <w:basedOn w:val="64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5">
    <w:name w:val="Grid Table 2 - Accent 5"/>
    <w:basedOn w:val="64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6">
    <w:name w:val="Grid Table 2 - Accent 6"/>
    <w:basedOn w:val="64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7">
    <w:name w:val="Grid Table 3"/>
    <w:basedOn w:val="64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
    <w:name w:val="Grid Table 3 - Accent 1"/>
    <w:basedOn w:val="64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
    <w:name w:val="Grid Table 3 - Accent 2"/>
    <w:basedOn w:val="64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3"/>
    <w:basedOn w:val="64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4"/>
    <w:basedOn w:val="64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5"/>
    <w:basedOn w:val="64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6"/>
    <w:basedOn w:val="64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4"/>
    <w:basedOn w:val="649"/>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5">
    <w:name w:val="Grid Table 4 - Accent 1"/>
    <w:basedOn w:val="649"/>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6">
    <w:name w:val="Grid Table 4 - Accent 2"/>
    <w:basedOn w:val="649"/>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7">
    <w:name w:val="Grid Table 4 - Accent 3"/>
    <w:basedOn w:val="649"/>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8">
    <w:name w:val="Grid Table 4 - Accent 4"/>
    <w:basedOn w:val="649"/>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9">
    <w:name w:val="Grid Table 4 - Accent 5"/>
    <w:basedOn w:val="649"/>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0">
    <w:name w:val="Grid Table 4 - Accent 6"/>
    <w:basedOn w:val="649"/>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1">
    <w:name w:val="Grid Table 5 Dark"/>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2">
    <w:name w:val="Grid Table 5 Dark- Accent 1"/>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3">
    <w:name w:val="Grid Table 5 Dark - Accent 2"/>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4">
    <w:name w:val="Grid Table 5 Dark - Accent 3"/>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5">
    <w:name w:val="Grid Table 5 Dark- Accent 4"/>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6">
    <w:name w:val="Grid Table 5 Dark - Accent 5"/>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7">
    <w:name w:val="Grid Table 5 Dark - Accent 6"/>
    <w:basedOn w:val="6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88">
    <w:name w:val="Grid Table 6 Colorful"/>
    <w:basedOn w:val="649"/>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9">
    <w:name w:val="Grid Table 6 Colorful - Accent 1"/>
    <w:basedOn w:val="649"/>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0">
    <w:name w:val="Grid Table 6 Colorful - Accent 2"/>
    <w:basedOn w:val="64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1">
    <w:name w:val="Grid Table 6 Colorful - Accent 3"/>
    <w:basedOn w:val="649"/>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2">
    <w:name w:val="Grid Table 6 Colorful - Accent 4"/>
    <w:basedOn w:val="64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3">
    <w:name w:val="Grid Table 6 Colorful - Accent 5"/>
    <w:basedOn w:val="649"/>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4">
    <w:name w:val="Grid Table 6 Colorful - Accent 6"/>
    <w:basedOn w:val="649"/>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5">
    <w:name w:val="Grid Table 7 Colorful"/>
    <w:basedOn w:val="649"/>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6">
    <w:name w:val="Grid Table 7 Colorful - Accent 1"/>
    <w:basedOn w:val="649"/>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7">
    <w:name w:val="Grid Table 7 Colorful - Accent 2"/>
    <w:basedOn w:val="649"/>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98">
    <w:name w:val="Grid Table 7 Colorful - Accent 3"/>
    <w:basedOn w:val="649"/>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99">
    <w:name w:val="Grid Table 7 Colorful - Accent 4"/>
    <w:basedOn w:val="649"/>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0">
    <w:name w:val="Grid Table 7 Colorful - Accent 5"/>
    <w:basedOn w:val="649"/>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1">
    <w:name w:val="Grid Table 7 Colorful - Accent 6"/>
    <w:basedOn w:val="649"/>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2">
    <w:name w:val="List Table 1 Light"/>
    <w:basedOn w:val="649"/>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3">
    <w:name w:val="List Table 1 Light - Accent 1"/>
    <w:basedOn w:val="649"/>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4">
    <w:name w:val="List Table 1 Light - Accent 2"/>
    <w:basedOn w:val="649"/>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5">
    <w:name w:val="List Table 1 Light - Accent 3"/>
    <w:basedOn w:val="649"/>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6">
    <w:name w:val="List Table 1 Light - Accent 4"/>
    <w:basedOn w:val="649"/>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7">
    <w:name w:val="List Table 1 Light - Accent 5"/>
    <w:basedOn w:val="649"/>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8">
    <w:name w:val="List Table 1 Light - Accent 6"/>
    <w:basedOn w:val="649"/>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09">
    <w:name w:val="List Table 2"/>
    <w:basedOn w:val="649"/>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0">
    <w:name w:val="List Table 2 - Accent 1"/>
    <w:basedOn w:val="649"/>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1">
    <w:name w:val="List Table 2 - Accent 2"/>
    <w:basedOn w:val="649"/>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2">
    <w:name w:val="List Table 2 - Accent 3"/>
    <w:basedOn w:val="649"/>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3">
    <w:name w:val="List Table 2 - Accent 4"/>
    <w:basedOn w:val="649"/>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4">
    <w:name w:val="List Table 2 - Accent 5"/>
    <w:basedOn w:val="649"/>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5">
    <w:name w:val="List Table 2 - Accent 6"/>
    <w:basedOn w:val="649"/>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6">
    <w:name w:val="List Table 3"/>
    <w:basedOn w:val="64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7">
    <w:name w:val="List Table 3 - Accent 1"/>
    <w:basedOn w:val="649"/>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18">
    <w:name w:val="List Table 3 - Accent 2"/>
    <w:basedOn w:val="64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19">
    <w:name w:val="List Table 3 - Accent 3"/>
    <w:basedOn w:val="649"/>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0">
    <w:name w:val="List Table 3 - Accent 4"/>
    <w:basedOn w:val="64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1">
    <w:name w:val="List Table 3 - Accent 5"/>
    <w:basedOn w:val="649"/>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2">
    <w:name w:val="List Table 3 - Accent 6"/>
    <w:basedOn w:val="649"/>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3">
    <w:name w:val="List Table 4"/>
    <w:basedOn w:val="64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4">
    <w:name w:val="List Table 4 - Accent 1"/>
    <w:basedOn w:val="649"/>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5">
    <w:name w:val="List Table 4 - Accent 2"/>
    <w:basedOn w:val="649"/>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6">
    <w:name w:val="List Table 4 - Accent 3"/>
    <w:basedOn w:val="649"/>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7">
    <w:name w:val="List Table 4 - Accent 4"/>
    <w:basedOn w:val="649"/>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28">
    <w:name w:val="List Table 4 - Accent 5"/>
    <w:basedOn w:val="649"/>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29">
    <w:name w:val="List Table 4 - Accent 6"/>
    <w:basedOn w:val="649"/>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0">
    <w:name w:val="List Table 5 Dark"/>
    <w:basedOn w:val="649"/>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1"/>
    <w:basedOn w:val="649"/>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649"/>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649"/>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649"/>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649"/>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649"/>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6 Colorful"/>
    <w:basedOn w:val="649"/>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38">
    <w:name w:val="List Table 6 Colorful - Accent 1"/>
    <w:basedOn w:val="649"/>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39">
    <w:name w:val="List Table 6 Colorful - Accent 2"/>
    <w:basedOn w:val="649"/>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0">
    <w:name w:val="List Table 6 Colorful - Accent 3"/>
    <w:basedOn w:val="649"/>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1">
    <w:name w:val="List Table 6 Colorful - Accent 4"/>
    <w:basedOn w:val="649"/>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2">
    <w:name w:val="List Table 6 Colorful - Accent 5"/>
    <w:basedOn w:val="649"/>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3">
    <w:name w:val="List Table 6 Colorful - Accent 6"/>
    <w:basedOn w:val="649"/>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4">
    <w:name w:val="List Table 7 Colorful"/>
    <w:basedOn w:val="649"/>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5">
    <w:name w:val="List Table 7 Colorful - Accent 1"/>
    <w:basedOn w:val="649"/>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6">
    <w:name w:val="List Table 7 Colorful - Accent 2"/>
    <w:basedOn w:val="649"/>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7">
    <w:name w:val="List Table 7 Colorful - Accent 3"/>
    <w:basedOn w:val="649"/>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48">
    <w:name w:val="List Table 7 Colorful - Accent 4"/>
    <w:basedOn w:val="649"/>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49">
    <w:name w:val="List Table 7 Colorful - Accent 5"/>
    <w:basedOn w:val="649"/>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0">
    <w:name w:val="List Table 7 Colorful - Accent 6"/>
    <w:basedOn w:val="649"/>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1">
    <w:name w:val="Lined - Accent"/>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2">
    <w:name w:val="Lined - Accent 1"/>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3">
    <w:name w:val="Lined - Accent 2"/>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4">
    <w:name w:val="Lined - Accent 3"/>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5">
    <w:name w:val="Lined - Accent 4"/>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6">
    <w:name w:val="Lined - Accent 5"/>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7">
    <w:name w:val="Lined - Accent 6"/>
    <w:basedOn w:val="6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58">
    <w:name w:val="Bordered &amp; Lined - Accent"/>
    <w:basedOn w:val="64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9">
    <w:name w:val="Bordered &amp; Lined - Accent 1"/>
    <w:basedOn w:val="64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0">
    <w:name w:val="Bordered &amp; Lined - Accent 2"/>
    <w:basedOn w:val="64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1">
    <w:name w:val="Bordered &amp; Lined - Accent 3"/>
    <w:basedOn w:val="64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2">
    <w:name w:val="Bordered &amp; Lined - Accent 4"/>
    <w:basedOn w:val="64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3">
    <w:name w:val="Bordered &amp; Lined - Accent 5"/>
    <w:basedOn w:val="64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4">
    <w:name w:val="Bordered &amp; Lined - Accent 6"/>
    <w:basedOn w:val="64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5">
    <w:name w:val="Bordered"/>
    <w:basedOn w:val="649"/>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6">
    <w:name w:val="Bordered - Accent 1"/>
    <w:basedOn w:val="64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7">
    <w:name w:val="Bordered - Accent 2"/>
    <w:basedOn w:val="64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68">
    <w:name w:val="Bordered - Accent 3"/>
    <w:basedOn w:val="64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69">
    <w:name w:val="Bordered - Accent 4"/>
    <w:basedOn w:val="64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0">
    <w:name w:val="Bordered - Accent 5"/>
    <w:basedOn w:val="64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1">
    <w:name w:val="Bordered - Accent 6"/>
    <w:basedOn w:val="64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2">
    <w:name w:val="Hyperlink"/>
    <w:uiPriority w:val="99"/>
    <w:unhideWhenUsed/>
    <w:rPr>
      <w:color w:val="0000FF" w:themeColor="hyperlink"/>
      <w:u w:val="single"/>
    </w:rPr>
  </w:style>
  <w:style w:type="paragraph" w:styleId="173">
    <w:name w:val="footnote text"/>
    <w:basedOn w:val="647"/>
    <w:link w:val="174"/>
    <w:uiPriority w:val="99"/>
    <w:semiHidden/>
    <w:unhideWhenUsed/>
    <w:pPr>
      <w:spacing w:after="40" w:line="240" w:lineRule="auto"/>
    </w:pPr>
    <w:rPr>
      <w:sz w:val="18"/>
    </w:rPr>
  </w:style>
  <w:style w:type="character" w:styleId="174">
    <w:name w:val="Footnote Text Char"/>
    <w:link w:val="173"/>
    <w:uiPriority w:val="99"/>
    <w:rPr>
      <w:sz w:val="18"/>
    </w:rPr>
  </w:style>
  <w:style w:type="character" w:styleId="175">
    <w:name w:val="footnote reference"/>
    <w:basedOn w:val="648"/>
    <w:uiPriority w:val="99"/>
    <w:unhideWhenUsed/>
    <w:rPr>
      <w:vertAlign w:val="superscript"/>
    </w:rPr>
  </w:style>
  <w:style w:type="paragraph" w:styleId="176">
    <w:name w:val="endnote text"/>
    <w:basedOn w:val="647"/>
    <w:link w:val="177"/>
    <w:uiPriority w:val="99"/>
    <w:semiHidden/>
    <w:unhideWhenUsed/>
    <w:pPr>
      <w:spacing w:after="0" w:line="240" w:lineRule="auto"/>
    </w:pPr>
    <w:rPr>
      <w:sz w:val="20"/>
    </w:rPr>
  </w:style>
  <w:style w:type="character" w:styleId="177">
    <w:name w:val="Endnote Text Char"/>
    <w:link w:val="176"/>
    <w:uiPriority w:val="99"/>
    <w:rPr>
      <w:sz w:val="20"/>
    </w:rPr>
  </w:style>
  <w:style w:type="character" w:styleId="178">
    <w:name w:val="endnote reference"/>
    <w:basedOn w:val="648"/>
    <w:uiPriority w:val="99"/>
    <w:semiHidden/>
    <w:unhideWhenUsed/>
    <w:rPr>
      <w:vertAlign w:val="superscript"/>
    </w:rPr>
  </w:style>
  <w:style w:type="paragraph" w:styleId="179">
    <w:name w:val="toc 1"/>
    <w:basedOn w:val="647"/>
    <w:next w:val="647"/>
    <w:uiPriority w:val="39"/>
    <w:unhideWhenUsed/>
    <w:pPr>
      <w:ind w:left="0" w:right="0" w:firstLine="0"/>
      <w:spacing w:after="57"/>
    </w:pPr>
  </w:style>
  <w:style w:type="paragraph" w:styleId="180">
    <w:name w:val="toc 2"/>
    <w:basedOn w:val="647"/>
    <w:next w:val="647"/>
    <w:uiPriority w:val="39"/>
    <w:unhideWhenUsed/>
    <w:pPr>
      <w:ind w:left="283" w:right="0" w:firstLine="0"/>
      <w:spacing w:after="57"/>
    </w:pPr>
  </w:style>
  <w:style w:type="paragraph" w:styleId="181">
    <w:name w:val="toc 3"/>
    <w:basedOn w:val="647"/>
    <w:next w:val="647"/>
    <w:uiPriority w:val="39"/>
    <w:unhideWhenUsed/>
    <w:pPr>
      <w:ind w:left="567" w:right="0" w:firstLine="0"/>
      <w:spacing w:after="57"/>
    </w:pPr>
  </w:style>
  <w:style w:type="paragraph" w:styleId="182">
    <w:name w:val="toc 4"/>
    <w:basedOn w:val="647"/>
    <w:next w:val="647"/>
    <w:uiPriority w:val="39"/>
    <w:unhideWhenUsed/>
    <w:pPr>
      <w:ind w:left="850" w:right="0" w:firstLine="0"/>
      <w:spacing w:after="57"/>
    </w:pPr>
  </w:style>
  <w:style w:type="paragraph" w:styleId="183">
    <w:name w:val="toc 5"/>
    <w:basedOn w:val="647"/>
    <w:next w:val="647"/>
    <w:uiPriority w:val="39"/>
    <w:unhideWhenUsed/>
    <w:pPr>
      <w:ind w:left="1134" w:right="0" w:firstLine="0"/>
      <w:spacing w:after="57"/>
    </w:pPr>
  </w:style>
  <w:style w:type="paragraph" w:styleId="184">
    <w:name w:val="toc 6"/>
    <w:basedOn w:val="647"/>
    <w:next w:val="647"/>
    <w:uiPriority w:val="39"/>
    <w:unhideWhenUsed/>
    <w:pPr>
      <w:ind w:left="1417" w:right="0" w:firstLine="0"/>
      <w:spacing w:after="57"/>
    </w:pPr>
  </w:style>
  <w:style w:type="paragraph" w:styleId="185">
    <w:name w:val="toc 7"/>
    <w:basedOn w:val="647"/>
    <w:next w:val="647"/>
    <w:uiPriority w:val="39"/>
    <w:unhideWhenUsed/>
    <w:pPr>
      <w:ind w:left="1701" w:right="0" w:firstLine="0"/>
      <w:spacing w:after="57"/>
    </w:pPr>
  </w:style>
  <w:style w:type="paragraph" w:styleId="186">
    <w:name w:val="toc 8"/>
    <w:basedOn w:val="647"/>
    <w:next w:val="647"/>
    <w:uiPriority w:val="39"/>
    <w:unhideWhenUsed/>
    <w:pPr>
      <w:ind w:left="1984" w:right="0" w:firstLine="0"/>
      <w:spacing w:after="57"/>
    </w:pPr>
  </w:style>
  <w:style w:type="paragraph" w:styleId="187">
    <w:name w:val="toc 9"/>
    <w:basedOn w:val="647"/>
    <w:next w:val="647"/>
    <w:uiPriority w:val="39"/>
    <w:unhideWhenUsed/>
    <w:pPr>
      <w:ind w:left="2268" w:right="0" w:firstLine="0"/>
      <w:spacing w:after="57"/>
    </w:pPr>
  </w:style>
  <w:style w:type="paragraph" w:styleId="188">
    <w:name w:val="TOC Heading"/>
    <w:uiPriority w:val="39"/>
    <w:unhideWhenUsed/>
  </w:style>
  <w:style w:type="paragraph" w:styleId="189">
    <w:name w:val="table of figures"/>
    <w:basedOn w:val="647"/>
    <w:next w:val="647"/>
    <w:uiPriority w:val="99"/>
    <w:unhideWhenUsed/>
    <w:pPr>
      <w:spacing w:after="0" w:afterAutospacing="0"/>
    </w:pPr>
  </w:style>
  <w:style w:type="paragraph" w:styleId="647" w:default="1">
    <w:name w:val="Normal"/>
    <w:qFormat/>
    <w:pPr>
      <w:spacing w:line="256" w:lineRule="auto"/>
    </w:pPr>
    <w:rPr>
      <w:rFonts w:ascii="Calibri" w:hAnsi="Calibri" w:cs="Calibri" w:eastAsia="Calibri"/>
      <w:lang w:eastAsia="en-CA"/>
    </w:rPr>
  </w:style>
  <w:style w:type="character" w:styleId="648" w:default="1">
    <w:name w:val="Default Paragraph Font"/>
    <w:uiPriority w:val="1"/>
    <w:semiHidden/>
    <w:unhideWhenUsed/>
  </w:style>
  <w:style w:type="table" w:styleId="649" w:default="1">
    <w:name w:val="Normal Table"/>
    <w:uiPriority w:val="99"/>
    <w:semiHidden/>
    <w:unhideWhenUsed/>
    <w:tblPr>
      <w:tblInd w:w="0" w:type="dxa"/>
      <w:tblCellMar>
        <w:left w:w="108" w:type="dxa"/>
        <w:top w:w="0" w:type="dxa"/>
        <w:right w:w="108" w:type="dxa"/>
        <w:bottom w:w="0" w:type="dxa"/>
      </w:tblCellMar>
    </w:tblPr>
  </w:style>
  <w:style w:type="numbering" w:styleId="650" w:default="1">
    <w:name w:val="No List"/>
    <w:uiPriority w:val="99"/>
    <w:semiHidden/>
    <w:unhideWhenUsed/>
  </w:style>
  <w:style w:type="paragraph" w:styleId="651">
    <w:name w:val="Header"/>
    <w:basedOn w:val="647"/>
    <w:link w:val="652"/>
    <w:uiPriority w:val="99"/>
    <w:unhideWhenUsed/>
    <w:pPr>
      <w:spacing w:after="0" w:line="240" w:lineRule="auto"/>
      <w:tabs>
        <w:tab w:val="center" w:pos="4680" w:leader="none"/>
        <w:tab w:val="right" w:pos="9360" w:leader="none"/>
      </w:tabs>
    </w:pPr>
  </w:style>
  <w:style w:type="character" w:styleId="652" w:customStyle="1">
    <w:name w:val="Header Char"/>
    <w:basedOn w:val="648"/>
    <w:link w:val="651"/>
    <w:uiPriority w:val="99"/>
    <w:rPr>
      <w:rFonts w:ascii="Calibri" w:hAnsi="Calibri" w:cs="Calibri" w:eastAsia="Calibri"/>
      <w:lang w:eastAsia="en-CA"/>
    </w:rPr>
  </w:style>
  <w:style w:type="paragraph" w:styleId="653">
    <w:name w:val="Footer"/>
    <w:basedOn w:val="647"/>
    <w:link w:val="654"/>
    <w:uiPriority w:val="99"/>
    <w:unhideWhenUsed/>
    <w:pPr>
      <w:spacing w:after="0" w:line="240" w:lineRule="auto"/>
      <w:tabs>
        <w:tab w:val="center" w:pos="4680" w:leader="none"/>
        <w:tab w:val="right" w:pos="9360" w:leader="none"/>
      </w:tabs>
    </w:pPr>
  </w:style>
  <w:style w:type="character" w:styleId="654" w:customStyle="1">
    <w:name w:val="Footer Char"/>
    <w:basedOn w:val="648"/>
    <w:link w:val="653"/>
    <w:uiPriority w:val="99"/>
    <w:rPr>
      <w:rFonts w:ascii="Calibri" w:hAnsi="Calibri" w:cs="Calibri" w:eastAsia="Calibri"/>
      <w:lang w:eastAsia="en-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nctr.ca/map.php" TargetMode="External"/><Relationship Id="rId11"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ONLYOFFICE/7.1.1.23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 Janet G</dc:creator>
  <cp:keywords/>
  <dc:description/>
  <cp:lastModifiedBy>Mi'kmaw Services Branch</cp:lastModifiedBy>
  <cp:revision>2</cp:revision>
  <dcterms:created xsi:type="dcterms:W3CDTF">2021-09-26T17:30:00Z</dcterms:created>
  <dcterms:modified xsi:type="dcterms:W3CDTF">2022-09-12T14:30:48Z</dcterms:modified>
</cp:coreProperties>
</file>