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sz w:val="32"/>
        </w:rPr>
        <w:t>ROOM 8 SLEEP CLINIC • 10-STATION AUDIT TEMPLATE</w:t>
      </w:r>
    </w:p>
    <w:p>
      <w:pPr>
        <w:spacing w:after="240"/>
      </w:pPr>
      <w:r>
        <w:rPr>
          <w:i/>
          <w:color w:val="505050"/>
          <w:sz w:val="19"/>
        </w:rPr>
        <w:t>Grade 9 Healthy Living • Outcome 1 Summative Task • Room 8 Mr. Waugh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3394"/>
        <w:gridCol w:w="3394"/>
        <w:gridCol w:w="3394"/>
      </w:tblGrid>
      <w:tr>
        <w:tc>
          <w:tcPr>
            <w:tcW w:type="dxa" w:w="3394"/>
            <w:shd w:fill="F4F4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Lead Auditor Names (Pair):</w:t>
              <w:br/>
            </w:r>
          </w:p>
        </w:tc>
        <w:tc>
          <w:tcPr>
            <w:tcW w:type="dxa" w:w="3394"/>
            <w:shd w:fill="F4F4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Class Section:</w:t>
              <w:br/>
              <w:t>90___</w:t>
            </w:r>
          </w:p>
        </w:tc>
        <w:tc>
          <w:tcPr>
            <w:tcW w:type="dxa" w:w="3394"/>
            <w:shd w:fill="F4F4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8"/>
              </w:rPr>
              <w:t>Date:</w:t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0181"/>
      </w:tblGrid>
      <w:tr>
        <w:tc>
          <w:tcPr>
            <w:tcW w:type="dxa" w:w="10181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sz w:val="19"/>
              </w:rPr>
              <w:t>📖 CLINICAL REFERENCE GUIDE</w:t>
              <w:br/>
            </w:r>
            <w:r>
              <w:rPr>
                <w:color w:val="3C3C3C"/>
                <w:sz w:val="16"/>
              </w:rPr>
              <w:t>• RISK CRITERIA: 🟢 STABLE (≥8.5 hrs, shift &lt;1h, 0 mechanisms) | 🟡 MODERATE (7.0–8.4 hrs, OR shift &gt;2h, OR 1 mechanism) | 🔴 CRITICAL (&lt;7.0 hrs, OR multiple mechanisms, OR fragmented)</w:t>
              <w:br/>
              <w:t>• CODES: CPD (Circadian Delay) | MEL (Blue Light/SCN) | DEBT (Weekly Deficit) | SJL (Social Jetlag) | SWS (Stage 3 NREM/HGH) | REM (Memory) | INERTIA (Morning Fog) | RT25 (Reaction Slowdown) | STIM (Screens) | 5D (5 Dimensions) | HYG (Hygiene/Caffeine)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b/>
          <w:sz w:val="24"/>
        </w:rPr>
        <w:t>1. Master Triage Ledger (All 10 Subjects)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273"/>
        <w:gridCol w:w="1273"/>
        <w:gridCol w:w="1273"/>
        <w:gridCol w:w="1273"/>
        <w:gridCol w:w="1273"/>
        <w:gridCol w:w="1273"/>
        <w:gridCol w:w="1273"/>
        <w:gridCol w:w="1273"/>
      </w:tblGrid>
      <w:tr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Patient Name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Hrs/Night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Debt ×5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Wknd Shift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Risk Level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Codes</w:t>
            </w:r>
          </w:p>
        </w:tc>
        <w:tc>
          <w:tcPr>
            <w:tcW w:type="dxa" w:w="1273"/>
            <w:shd w:fill="EAEAE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First Clinical Order</w:t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C., Devon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S., Priya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03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O., Marcus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04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R., Jenna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05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T., Isaiah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06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N., Lily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07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K., Tyrell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08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W., Grace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09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D., Owen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P., Amara</w:t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7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b/>
          <w:sz w:val="24"/>
        </w:rPr>
        <w:t>2. Detailed Patient Clinical Records (Stations 01–10)</w:t>
      </w:r>
    </w:p>
    <w:p>
      <w:pPr>
        <w:spacing w:before="120" w:after="40"/>
      </w:pPr>
      <w:r>
        <w:rPr>
          <w:b/>
          <w:sz w:val="20"/>
        </w:rPr>
        <w:t xml:space="preserve">Station 01: C., Devon </w:t>
      </w:r>
      <w:r>
        <w:rPr>
          <w:i/>
          <w:color w:val="5A5A5A"/>
          <w:sz w:val="17"/>
        </w:rPr>
        <w:t>(Chronic Weekday Debt &amp; Catch-Up Myth)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02: S., Priya </w:t>
      </w:r>
      <w:r>
        <w:rPr>
          <w:i/>
          <w:color w:val="5A5A5A"/>
          <w:sz w:val="17"/>
        </w:rPr>
        <w:t>(Disciplined Routine &amp; Healthy Baseline)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03: O., Marcus </w:t>
      </w:r>
      <w:r>
        <w:rPr>
          <w:i/>
          <w:color w:val="5A5A5A"/>
          <w:sz w:val="17"/>
        </w:rPr>
        <w:t>(Weekend Freefall &amp; Circadian Misalignment)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04: R., Jenna </w:t>
      </w:r>
      <w:r>
        <w:rPr>
          <w:i/>
          <w:color w:val="5A5A5A"/>
          <w:sz w:val="17"/>
        </w:rPr>
        <w:t>(Doomscrolling &amp; Time-in-Bed vs Time-Asleep)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05: T., Isaiah </w:t>
      </w:r>
      <w:r>
        <w:rPr>
          <w:i/>
          <w:color w:val="5A5A5A"/>
          <w:sz w:val="17"/>
        </w:rPr>
        <w:t>(Varsity Athlete, Growth Spurt &amp; HGH Recovery)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06: N., Lily </w:t>
      </w:r>
      <w:r>
        <w:rPr>
          <w:i/>
          <w:color w:val="5A5A5A"/>
          <w:sz w:val="17"/>
        </w:rPr>
        <w:t>(5:45 AM Commuter &amp; Structural Bus Route Constraint)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07: K., Tyrell </w:t>
      </w:r>
      <w:r>
        <w:rPr>
          <w:i/>
          <w:color w:val="5A5A5A"/>
          <w:sz w:val="17"/>
        </w:rPr>
        <w:t>(Energy Drinks, Caffeine Half-Life &amp; Adenosine Blockade)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08: W., Grace </w:t>
      </w:r>
      <w:r>
        <w:rPr>
          <w:i/>
          <w:color w:val="5A5A5A"/>
          <w:sz w:val="17"/>
        </w:rPr>
        <w:t>(Night Rumination, Anxiety &amp; Clean Hygiene)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09: D., Owen </w:t>
      </w:r>
      <w:r>
        <w:rPr>
          <w:i/>
          <w:color w:val="5A5A5A"/>
          <w:sz w:val="17"/>
        </w:rPr>
        <w:t>(Fri/Sat All-Nighter Gamer &amp; +5.5h Social Jetlag)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sz w:val="20"/>
        </w:rPr>
        <w:t xml:space="preserve">Station 10: P., Amara </w:t>
      </w:r>
      <w:r>
        <w:rPr>
          <w:i/>
          <w:color w:val="5A5A5A"/>
          <w:sz w:val="17"/>
        </w:rPr>
        <w:t>(Family Restaurant Closer &amp; Non-Discretionary Labor)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5090"/>
        <w:gridCol w:w="5090"/>
      </w:tblGrid>
      <w:tr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Telemetry: Sleep Hours: ______ | Weekly Debt: ______ | Weekend Shift: ______</w:t>
            </w:r>
          </w:p>
        </w:tc>
        <w:tc>
          <w:tcPr>
            <w:tcW w:type="dxa" w:w="509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Risk: [ ] Stable  [ ] Moderate  [ ] Critical</w:t>
            </w:r>
          </w:p>
        </w:tc>
      </w:tr>
      <w:tr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Active Mechanism Codes:</w:t>
            </w:r>
          </w:p>
        </w:tc>
        <w:tc>
          <w:tcPr>
            <w:tcW w:type="dxa" w:w="50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First Clinical Order (Prescription):</w:t>
              <w:br/>
            </w:r>
          </w:p>
        </w:tc>
      </w:tr>
      <w:tr>
        <w:tc>
          <w:tcPr>
            <w:tcW w:type="dxa" w:w="10180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Clinical Evidence &amp; Observations from Case File:</w:t>
              <w:br/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b/>
          <w:sz w:val="24"/>
        </w:rPr>
        <w:t>3. Final Contract Bid: Deep-Dive Summative Audit</w:t>
      </w:r>
    </w:p>
    <w:p>
      <w:r>
        <w:rPr>
          <w:sz w:val="17"/>
        </w:rPr>
        <w:t>Before Quiz 1, your consulting pair will write a comprehensive clinical audit on ONE of the 10 patients.</w:t>
        <w:b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</w:tblPr>
      <w:tblGrid>
        <w:gridCol w:w="10181"/>
      </w:tblGrid>
      <w:tr>
        <w:tc>
          <w:tcPr>
            <w:tcW w:type="dxa" w:w="10181"/>
            <w:shd w:fill="F4F4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Selected Patient for Full Audit Report: __________________________________________________</w:t>
            </w:r>
          </w:p>
        </w:tc>
      </w:tr>
      <w:tr>
        <w:tc>
          <w:tcPr>
            <w:tcW w:type="dxa" w:w="101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Clinical Justification (Why did your firm select this case?):</w:t>
              <w:br/>
              <w:br/>
              <w:br/>
              <w:br/>
            </w:r>
          </w:p>
        </w:tc>
      </w:tr>
    </w:tbl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