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Kaneasatake and Oka, Quebec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Near Rexton, New 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Unceded territory, British Colombia</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Plans to expand a golf course and build condos on a Mohawk burial ground and ancestral land.</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18"/>
                <w:szCs w:val="18"/>
              </w:rPr>
            </w:pPr>
            <w:r w:rsidDel="00000000" w:rsidR="00000000" w:rsidRPr="00000000">
              <w:rPr>
                <w:sz w:val="18"/>
                <w:szCs w:val="18"/>
                <w:rtl w:val="0"/>
              </w:rPr>
              <w:t xml:space="preserve">SWN Resources was conducting seismic testing for shale gas extraction (fracking). Injecting water, sand, and chemicals at high pressure into rock to release 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To stop the construction of the Coastal GasLink (CGL) pipeline through unceded territory. The Hereditary Chiefs asserted that the project lacked their "free, prior, and informed consent".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Protection of sacred burial grounds and sovereignty over ancestral lands (The Pines).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Stewardship of water and land; concerns about groundwater contamination and environmental 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Indigenous sovereignty and authority over ancestral lands; environmental protection of sacred headwaters and waterways like Wedzin Kwa.</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78-day armed standoff between Mohawk warriors, the SQ (police), and later the Canadian Army.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series of blockades; escalated into a violent raid by the RCMP involving tear gas and beanbag rounds.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RCMP conducted militarized raids to enforce a court injunction, using chainsaws and axes to enter camps and arresting land defenders. This sparked the #ShutDownCanada movement, with nationwide solidarity protests and rail blockades.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golf course expansion was cancelled. The federal government purchased the land to prevent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SWN Resources eventually withdrew from the province; NB later placed a moratorium on fracking.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Despite the protests, the B.C. Supreme Court upheld the injunction. Pipeline installation was eventually 100% completed by October 2023, though land defenders continue to assert their rights in court.</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government should have permanently transferred legal title of the disputed land to the Mohawk nation through direct federal repatriation, which would have formally recognized their historic land rights rather than just temporarily halting the golf course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province should have obtained full, informed consent from the Elsipogtog First Nation before issuing corporate permits, thereby upholding the government's constitutional duty to consult on unceded territory and avoiding escalating police standoffs.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Governments should have formally negotiated land jurisdiction directly with the traditional Hereditary Chiefs, as bypassing ancestral governance systems in favor of corporate deals creates systemic stalemates over pipelines crossing unceded territory.</w:t>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