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Written / read research: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https://aht.ca/wp-content/uploads/2017/12/Lodge.pdf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https://en.wikipedia.org/wiki/Sweat_lodge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Old diagram: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https://religionsmn.carleton.edu/items/show/4988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Images used for project construction: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140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266950" cy="1409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Images: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180975</wp:posOffset>
            </wp:positionV>
            <wp:extent cx="2462213" cy="3272817"/>
            <wp:effectExtent b="0" l="0" r="0" t="0"/>
            <wp:wrapNone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3272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2686050</wp:posOffset>
            </wp:positionH>
            <wp:positionV relativeFrom="paragraph">
              <wp:posOffset>180975</wp:posOffset>
            </wp:positionV>
            <wp:extent cx="2145833" cy="2861111"/>
            <wp:effectExtent b="0" l="0" r="0" t="0"/>
            <wp:wrapNone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833" cy="2861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aht.ca/wp-content/uploads/2017/12/Lodge.pdf" TargetMode="External"/><Relationship Id="rId7" Type="http://schemas.openxmlformats.org/officeDocument/2006/relationships/hyperlink" Target="https://en.wikipedia.org/wiki/Sweat_lodge" TargetMode="External"/><Relationship Id="rId8" Type="http://schemas.openxmlformats.org/officeDocument/2006/relationships/hyperlink" Target="https://religionsmn.carleton.edu/items/show/49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