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RowAnalytics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</w:p>
    <w:p>
      <w:pPr>
        <w:pStyle w:val="Subheading"/>
        <w:bidi w:val="0"/>
      </w:pP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Distribution of the number of 'hits' in the upstream/inside/downstream components of each gene</w:t>
      </w: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Within a gene, are the 'hit' SNPs equally represented or are there specific genotypes that are over/under-represented?</w:t>
      </w: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How many simple networks do each of the 'hit' SNPs contribute to?</w:t>
      </w:r>
      <w:r>
        <w:rPr>
          <w:rtl w:val="0"/>
        </w:rPr>
        <w:t> </w:t>
      </w: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Distribution of how many 'hit' SNPs for the same gene the simple networks contain</w:t>
      </w: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How many unique cases are there for each SNP ('hit' or 'non-hit'? Are there any patterns?</w:t>
      </w: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Can we identify driver mutations? Can we identify other mutations that drive/affect disease phenotype pleitropy? Are there any commonalities in the pathways of the driver/secondary mutations?</w:t>
      </w: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Are any of the 'hit' SNPs druggable? (this may require Annotator and can't be answered yet)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  <w:lang w:val="de-DE"/>
        </w:rPr>
        <w:t>·</w:t>
      </w:r>
      <w:r>
        <w:rPr>
          <w:sz w:val="19"/>
          <w:szCs w:val="19"/>
          <w:rtl w:val="0"/>
        </w:rPr>
        <w:t>         </w:t>
      </w:r>
      <w:r>
        <w:rPr>
          <w:rtl w:val="0"/>
          <w:lang w:val="en-US"/>
        </w:rPr>
        <w:t>Which SNPs were associated with the protective effects? Which simple &amp; merged networks do they occur in? How many other SNPs were associated with those genes and were any of them 'hits' in the disease risk analysis?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There were 91 hits in the Risk-associated SNPs that were within 50kb of a transcription start site. Of these 91 hits, 46 of them were within the protein coding sequence. 2 were after the transcription start site but before the coding sequence, and 7 were downstream of the transcription end site. 23 were within 50kb upstream, and 13 were within 50kb downstream.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For the protective variants, a similar pattern was observed. 21 were within the coding sequence, 0 were were after the tx start and 4 were between the coding end and transcription end. 3 were 50kb downstream and 5 were 50kb upstream. </w:t>
      </w:r>
    </w:p>
    <w:p>
      <w:pPr>
        <w:pStyle w:val="Body"/>
        <w:bidi w:val="0"/>
      </w:pPr>
      <w:r>
        <w:rPr>
          <w:rtl w:val="0"/>
          <w:lang w:val="en-US"/>
        </w:rPr>
        <w:t>The script used to tally these counts was biased toward coding sequences for the tally as sometimes alternative reading frames led to repeats of tallies. For example, when there was a duplicate where one reading frame counted as a coding sequence and another counted it as downstream of the coding sequence before the transcription end site, the coding sequence hit was taken and the</w:t>
      </w:r>
      <w:r>
        <w:rPr>
          <w:rtl w:val="0"/>
          <w:lang w:val="en-US"/>
        </w:rPr>
        <w:t xml:space="preserve"> hit for the transcription end</w:t>
      </w:r>
      <w:r>
        <w:rPr>
          <w:rtl w:val="0"/>
          <w:lang w:val="en-US"/>
        </w:rPr>
        <w:t xml:space="preserve"> was removed.</w:t>
      </w:r>
    </w:p>
    <w:p>
      <w:pPr>
        <w:pStyle w:val="Body"/>
        <w:bidi w:val="0"/>
      </w:pPr>
    </w:p>
    <w:p>
      <w:pPr>
        <w:pStyle w:val="Body"/>
        <w:bidi w:val="0"/>
        <w:rPr>
          <w:rFonts w:ascii="Arial" w:cs="Arial" w:hAnsi="Arial" w:eastAsia="Arial"/>
          <w:color w:val="222222"/>
          <w:sz w:val="26"/>
          <w:szCs w:val="26"/>
        </w:rPr>
      </w:pPr>
    </w:p>
    <w:p>
      <w:pPr>
        <w:pStyle w:val="Body"/>
        <w:bidi w:val="0"/>
      </w:pPr>
      <w:r>
        <w:rPr>
          <w:rFonts w:ascii="Arial" w:cs="Arial" w:hAnsi="Arial" w:eastAsia="Arial"/>
          <w:color w:val="222222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