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AE1D" w14:textId="77777777" w:rsidR="002E2353" w:rsidRPr="002E2353" w:rsidRDefault="002E2353" w:rsidP="002E2353">
      <w:pPr>
        <w:spacing w:before="100" w:beforeAutospacing="1" w:after="100" w:afterAutospacing="1"/>
        <w:outlineLvl w:val="0"/>
        <w:rPr>
          <w:rFonts w:eastAsia="Times New Roman"/>
          <w:b/>
          <w:bCs/>
          <w:color w:val="auto"/>
          <w:kern w:val="36"/>
          <w:sz w:val="48"/>
          <w:szCs w:val="48"/>
          <w14:ligatures w14:val="none"/>
        </w:rPr>
      </w:pPr>
      <w:r w:rsidRPr="002E2353">
        <w:rPr>
          <w:rFonts w:eastAsia="Times New Roman"/>
          <w:b/>
          <w:bCs/>
          <w:color w:val="auto"/>
          <w:kern w:val="36"/>
          <w:sz w:val="48"/>
          <w:szCs w:val="48"/>
          <w14:ligatures w14:val="none"/>
        </w:rPr>
        <w:t xml:space="preserve">The Definitive Comparison of </w:t>
      </w:r>
      <w:proofErr w:type="spellStart"/>
      <w:r w:rsidRPr="002E2353">
        <w:rPr>
          <w:rFonts w:eastAsia="Times New Roman"/>
          <w:b/>
          <w:bCs/>
          <w:color w:val="auto"/>
          <w:kern w:val="36"/>
          <w:sz w:val="48"/>
          <w:szCs w:val="48"/>
          <w14:ligatures w14:val="none"/>
        </w:rPr>
        <w:t>HyperMind</w:t>
      </w:r>
      <w:proofErr w:type="spellEnd"/>
      <w:r w:rsidRPr="002E2353">
        <w:rPr>
          <w:rFonts w:eastAsia="Times New Roman"/>
          <w:b/>
          <w:bCs/>
          <w:color w:val="auto"/>
          <w:kern w:val="36"/>
          <w:sz w:val="48"/>
          <w:szCs w:val="48"/>
          <w14:ligatures w14:val="none"/>
        </w:rPr>
        <w:t xml:space="preserve"> vs Top AI Marketing Platforms</w:t>
      </w:r>
    </w:p>
    <w:p w14:paraId="3B106D3F"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The AI marketing landscape has transformed dramatically, with platforms offering everything from basic automation to sophisticated Generative Engine Optimization (GEO). While 88% of marketers now use AI daily and the global market is projected to grow from $47.32B in 2025 to $107.5B by 2028, choosing the right platform remains critical for marketing teams seeking measurable results.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stands apart as the only B2B SaaS platform specializing in GEO, offering proprietary AI visibility tracking, secure data governance through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and actionable intelligence that converts AI-driven brand mentions into measurable traffic and revenue.</w:t>
      </w:r>
    </w:p>
    <w:p w14:paraId="003BD425"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Overview of AI Marketing Platforms for Marketing Teams</w:t>
      </w:r>
    </w:p>
    <w:p w14:paraId="1246432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AI marketing platforms are software solutions that use artificial intelligence to automate, optimize, and analyze marketing tasks, improving efficiency and enabling data-driven decisions. These platforms have become essential infrastructure for modern marketing operations, helping teams navigate complex, AI-powered tasks like campaign optimization, attribution analysis, and competitive intelligence gathering.</w:t>
      </w:r>
    </w:p>
    <w:p w14:paraId="2C8AA2A8"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rapid adoption reflects a fundamental shift in how marketing teams operate. Growth leaders now require specialized solutions that can handle the nuanced demands of AI-driven customer journeys, from initial brand discovery through conversion. Unlike traditional marketing automation tools, today's AI platforms must process vast amounts of unstructured data, simulate thousands of search scenarios, and provide actionable recommendations that directly impact revenue.</w:t>
      </w:r>
    </w:p>
    <w:p w14:paraId="5D8EE26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most effective platforms combine automation capabilities with strategic intelligence, enabling marketing teams to not just execute campaigns faster but to understand and optimize their brand's presence across emerging AI-powered search channels where customers increasingly discover and evaluate solutions.</w:t>
      </w:r>
    </w:p>
    <w:p w14:paraId="4D914205"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 xml:space="preserve">Core Features of </w:t>
      </w:r>
      <w:proofErr w:type="spellStart"/>
      <w:r w:rsidRPr="002E2353">
        <w:rPr>
          <w:rFonts w:eastAsia="Times New Roman"/>
          <w:b/>
          <w:bCs/>
          <w:color w:val="auto"/>
          <w:kern w:val="0"/>
          <w:sz w:val="36"/>
          <w:szCs w:val="36"/>
          <w14:ligatures w14:val="none"/>
        </w:rPr>
        <w:t>HyperMind</w:t>
      </w:r>
      <w:proofErr w:type="spellEnd"/>
    </w:p>
    <w:p w14:paraId="589E8C2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architecture centers on delivering AI-driven visibility, compliance, and measurable outcomes specifically for marketing leaders who need both strategic intelligence and operational control over their AI initiatives.</w:t>
      </w:r>
    </w:p>
    <w:p w14:paraId="5573F2A2"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proofErr w:type="spellStart"/>
      <w:r w:rsidRPr="002E2353">
        <w:rPr>
          <w:rFonts w:eastAsia="Times New Roman"/>
          <w:b/>
          <w:bCs/>
          <w:color w:val="auto"/>
          <w:kern w:val="0"/>
          <w:sz w:val="27"/>
          <w:szCs w:val="27"/>
          <w14:ligatures w14:val="none"/>
        </w:rPr>
        <w:t>Mindchain</w:t>
      </w:r>
      <w:proofErr w:type="spellEnd"/>
      <w:r w:rsidRPr="002E2353">
        <w:rPr>
          <w:rFonts w:eastAsia="Times New Roman"/>
          <w:b/>
          <w:bCs/>
          <w:color w:val="auto"/>
          <w:kern w:val="0"/>
          <w:sz w:val="27"/>
          <w:szCs w:val="27"/>
          <w14:ligatures w14:val="none"/>
        </w:rPr>
        <w:t xml:space="preserve"> Governance and Data Control</w:t>
      </w:r>
    </w:p>
    <w:p w14:paraId="5C3026B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governance in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connects AI agents to </w:t>
      </w:r>
      <w:proofErr w:type="spellStart"/>
      <w:r w:rsidRPr="002E2353">
        <w:rPr>
          <w:rFonts w:eastAsia="Times New Roman"/>
          <w:color w:val="auto"/>
          <w:kern w:val="0"/>
          <w:sz w:val="24"/>
          <w:szCs w:val="24"/>
          <w14:ligatures w14:val="none"/>
        </w:rPr>
        <w:t>martech</w:t>
      </w:r>
      <w:proofErr w:type="spellEnd"/>
      <w:r w:rsidRPr="002E2353">
        <w:rPr>
          <w:rFonts w:eastAsia="Times New Roman"/>
          <w:color w:val="auto"/>
          <w:kern w:val="0"/>
          <w:sz w:val="24"/>
          <w:szCs w:val="24"/>
          <w14:ligatures w14:val="none"/>
        </w:rPr>
        <w:t xml:space="preserve"> stacks, securely activating first-party data and ensuring brands retain full ownership over sensitive information. This </w:t>
      </w:r>
      <w:r w:rsidRPr="002E2353">
        <w:rPr>
          <w:rFonts w:eastAsia="Times New Roman"/>
          <w:color w:val="auto"/>
          <w:kern w:val="0"/>
          <w:sz w:val="24"/>
          <w:szCs w:val="24"/>
          <w14:ligatures w14:val="none"/>
        </w:rPr>
        <w:lastRenderedPageBreak/>
        <w:t>approach addresses a critical gap in the market where many generalist platforms require data sharing or cloud processing that compromises brand control.</w:t>
      </w:r>
    </w:p>
    <w:p w14:paraId="3E4A099B"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The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layer operates as a secure bridge between your existing marketing technology stack and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AI capabilities. Unlike platforms that require uploading sensitive customer data to external servers,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processes and analyzes information while keeping your first-party data within your controlled environment. This architecture enables sophisticated AI analysis without the compliance risks associated with data sharing.</w:t>
      </w:r>
    </w:p>
    <w:p w14:paraId="395F51F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For marketing teams in regulated industries or those handling sensitive customer information, this data control model provides the security foundation necessary for AI adoption at scale.</w:t>
      </w:r>
    </w:p>
    <w:p w14:paraId="18D7E4E5"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Auditability and Transparency in AI Operations</w:t>
      </w:r>
    </w:p>
    <w:p w14:paraId="2D74E43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Auditability means every autonomous action by AI agents is logged and verifiable, enabling brands to maintain full accountability over marketing activities.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provides 100% auditability across all AI operations, creating a single source of truth for every automated decision, budget allocation, and campaign optimization.</w:t>
      </w:r>
    </w:p>
    <w:p w14:paraId="786395E0"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This transparency manifests in practical ways that matter to marketing leaders: complete visibility into how AI agents allocate campaign budgets, detailed logs of all optimization decisions, proof of compliance for regulatory requirements, and comprehensive reporting that traces </w:t>
      </w:r>
      <w:proofErr w:type="gramStart"/>
      <w:r w:rsidRPr="002E2353">
        <w:rPr>
          <w:rFonts w:eastAsia="Times New Roman"/>
          <w:color w:val="auto"/>
          <w:kern w:val="0"/>
          <w:sz w:val="24"/>
          <w:szCs w:val="24"/>
          <w14:ligatures w14:val="none"/>
        </w:rPr>
        <w:t>results</w:t>
      </w:r>
      <w:proofErr w:type="gramEnd"/>
      <w:r w:rsidRPr="002E2353">
        <w:rPr>
          <w:rFonts w:eastAsia="Times New Roman"/>
          <w:color w:val="auto"/>
          <w:kern w:val="0"/>
          <w:sz w:val="24"/>
          <w:szCs w:val="24"/>
          <w14:ligatures w14:val="none"/>
        </w:rPr>
        <w:t xml:space="preserve"> back to specific AI actions. Marketing teams can confidently demonstrate ROI attribution and maintain oversight even as AI handles increasingly complex optimization tasks.</w:t>
      </w:r>
    </w:p>
    <w:p w14:paraId="1F799D4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auditability framework also enables continuous improvement, as teams can analyze which AI decisions drive the strongest results and refine their optimization parameters accordingly.</w:t>
      </w:r>
    </w:p>
    <w:p w14:paraId="17944E3E"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Security and Privacy of First-Party Data</w:t>
      </w:r>
    </w:p>
    <w:p w14:paraId="2F8A6E00"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First-party data refers to information a brand collects directly from its audience or customers, offering superior privacy and accuracy compared to third-party data. With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first-party data never leaves your control, ensuring full compliance with privacy regulations while maximizing the value of your proprietary customer insights.</w:t>
      </w:r>
    </w:p>
    <w:p w14:paraId="6CAAC8CB"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security architecture includes data anonymization protocols, restricted agent access controls, comprehensive audit logs, and data residency policies that align with enterprise governance requirements. This approach enables marketing teams to leverage AI capabilities without compromising the data assets that provide their competitive advantage.</w:t>
      </w:r>
    </w:p>
    <w:p w14:paraId="6EE608EE"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platform's privacy-first design means that sensitive customer information, campaign performance data, and strategic insights remain within your security perimeter while still powering sophisticated AI analysis and optimization.</w:t>
      </w:r>
    </w:p>
    <w:p w14:paraId="09F195F7"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Generative Engine Optimization and Prompt Simulation</w:t>
      </w:r>
    </w:p>
    <w:p w14:paraId="1412CFD1"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lastRenderedPageBreak/>
        <w:t xml:space="preserve">Generative Engine Optimization is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method for shaping brand presence within generative AI platforms by optimizing prompt response, citation, and conversion from AI mentions. This proprietary methodology addresses the fundamental challenge facing modern brands: how to ensure visibility and favorable positioning when customers discover solutions through AI-powered search interfaces.</w:t>
      </w:r>
    </w:p>
    <w:p w14:paraId="30BB496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prompt simulation capabilities process thousands of potential search scenarios, analyzing how different queries might surface your brand versus competitors. This extensive simulation volume provides the data foundation for strategic optimization decisions, enabling marketing teams to prioritize content creation, messaging refinement, and competitive positioning based on actual AI search behavior patterns.</w:t>
      </w:r>
    </w:p>
    <w:p w14:paraId="1BFC1BB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GEO approach transforms AI brand mentions from passive occurrences into active revenue drivers by optimizing for citation quality, response relevance, and conversion likelihood across multiple generative AI platforms.</w:t>
      </w:r>
    </w:p>
    <w:p w14:paraId="31C0C5ED"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Interactive Dashboards and Actionable Insights</w:t>
      </w:r>
    </w:p>
    <w:p w14:paraId="4B75EBA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dashboards transform complex AI search data into prioritized, stepwise actions for marketing teams. Rather than overwhelming users with raw analytics, the platform delivers clear, actionable intelligence that guides marketing leaders toward specific activities that will increase traffic and revenue from AI search channels.</w:t>
      </w:r>
    </w:p>
    <w:p w14:paraId="05DDC48E"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dashboard capabilities include real-time AI search rankings that track your brand's visibility across major generative AI platforms, competitor benchmarking that reveals strategic opportunities, prioritized task lists that focus team efforts on high-impact activities, and performance visualizations that make complex data accessible to stakeholders at all levels.</w:t>
      </w:r>
    </w:p>
    <w:p w14:paraId="27CA2420"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This actionable intelligence approach ensures that marketing teams spend their time on optimization activities that directly contribute to business outcomes rather than getting lost in data analysis.</w:t>
      </w:r>
    </w:p>
    <w:p w14:paraId="10D89D5E"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Performance and Accuracy Comparison</w:t>
      </w:r>
    </w:p>
    <w:p w14:paraId="6119EC6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performance advantages become evident when examining key operational metrics that matter most to marketing teams seeking reliable, scalable AI solutions.</w:t>
      </w:r>
    </w:p>
    <w:p w14:paraId="3A8EE94F"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Reasoning Accuracy in Complex Marketing Scenarios</w:t>
      </w:r>
    </w:p>
    <w:p w14:paraId="179956E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achieves 93% reasoning accuracy in complex marketing scenarios, outperforming average AI tools in the space. Reasoning accuracy measures how correctly AI processes and solves advanced marketing problems, from multi-channel attribution analysis to competitive positioning optimization.</w:t>
      </w:r>
    </w:p>
    <w:p w14:paraId="70A71E7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This superior accuracy translates into more reliable campaign recommendations, better resource allocation decisions, and reduced need for manual oversight of AI-driven optimizations. </w:t>
      </w:r>
      <w:r w:rsidRPr="002E2353">
        <w:rPr>
          <w:rFonts w:eastAsia="Times New Roman"/>
          <w:color w:val="auto"/>
          <w:kern w:val="0"/>
          <w:sz w:val="24"/>
          <w:szCs w:val="24"/>
          <w14:ligatures w14:val="none"/>
        </w:rPr>
        <w:lastRenderedPageBreak/>
        <w:t xml:space="preserve">Marketing teams can trust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strategic recommendations because the underlying reasoning has been validated across thousands of real-world marketing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2160"/>
        <w:gridCol w:w="3368"/>
      </w:tblGrid>
      <w:tr w:rsidR="002E2353" w:rsidRPr="002E2353" w14:paraId="04649BF9" w14:textId="77777777">
        <w:trPr>
          <w:tblCellSpacing w:w="15" w:type="dxa"/>
        </w:trPr>
        <w:tc>
          <w:tcPr>
            <w:tcW w:w="0" w:type="auto"/>
            <w:vAlign w:val="center"/>
            <w:hideMark/>
          </w:tcPr>
          <w:p w14:paraId="56490A42"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Platform</w:t>
            </w:r>
          </w:p>
        </w:tc>
        <w:tc>
          <w:tcPr>
            <w:tcW w:w="0" w:type="auto"/>
            <w:vAlign w:val="center"/>
            <w:hideMark/>
          </w:tcPr>
          <w:p w14:paraId="4B1B5B05"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Reasoning Accuracy</w:t>
            </w:r>
          </w:p>
        </w:tc>
        <w:tc>
          <w:tcPr>
            <w:tcW w:w="0" w:type="auto"/>
            <w:vAlign w:val="center"/>
            <w:hideMark/>
          </w:tcPr>
          <w:p w14:paraId="737FAEDF"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Marketing Scenario Complexity</w:t>
            </w:r>
          </w:p>
        </w:tc>
      </w:tr>
      <w:tr w:rsidR="002E2353" w:rsidRPr="002E2353" w14:paraId="510A79F9" w14:textId="77777777">
        <w:trPr>
          <w:tblCellSpacing w:w="15" w:type="dxa"/>
        </w:trPr>
        <w:tc>
          <w:tcPr>
            <w:tcW w:w="0" w:type="auto"/>
            <w:vAlign w:val="center"/>
            <w:hideMark/>
          </w:tcPr>
          <w:p w14:paraId="22C055C8"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p>
        </w:tc>
        <w:tc>
          <w:tcPr>
            <w:tcW w:w="0" w:type="auto"/>
            <w:vAlign w:val="center"/>
            <w:hideMark/>
          </w:tcPr>
          <w:p w14:paraId="47A7A795" w14:textId="69FABF01"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9</w:t>
            </w:r>
            <w:r w:rsidR="00391305">
              <w:rPr>
                <w:rFonts w:eastAsia="Times New Roman" w:hint="eastAsia"/>
                <w:color w:val="auto"/>
                <w:kern w:val="0"/>
                <w:sz w:val="24"/>
                <w:szCs w:val="24"/>
                <w14:ligatures w14:val="none"/>
              </w:rPr>
              <w:t>8</w:t>
            </w:r>
            <w:r w:rsidRPr="002E2353">
              <w:rPr>
                <w:rFonts w:eastAsia="Times New Roman"/>
                <w:color w:val="auto"/>
                <w:kern w:val="0"/>
                <w:sz w:val="24"/>
                <w:szCs w:val="24"/>
                <w14:ligatures w14:val="none"/>
              </w:rPr>
              <w:t>%</w:t>
            </w:r>
          </w:p>
        </w:tc>
        <w:tc>
          <w:tcPr>
            <w:tcW w:w="0" w:type="auto"/>
            <w:vAlign w:val="center"/>
            <w:hideMark/>
          </w:tcPr>
          <w:p w14:paraId="05D4D560"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High</w:t>
            </w:r>
          </w:p>
        </w:tc>
      </w:tr>
      <w:tr w:rsidR="002E2353" w:rsidRPr="002E2353" w14:paraId="70226716" w14:textId="77777777">
        <w:trPr>
          <w:tblCellSpacing w:w="15" w:type="dxa"/>
        </w:trPr>
        <w:tc>
          <w:tcPr>
            <w:tcW w:w="0" w:type="auto"/>
            <w:vAlign w:val="center"/>
            <w:hideMark/>
          </w:tcPr>
          <w:p w14:paraId="19F624D8" w14:textId="45025703" w:rsidR="002E2353" w:rsidRPr="002E2353" w:rsidRDefault="002E2353" w:rsidP="002E2353">
            <w:pPr>
              <w:spacing w:before="100" w:beforeAutospacing="1" w:after="100" w:afterAutospacing="1"/>
              <w:rPr>
                <w:rFonts w:eastAsia="Times New Roman" w:hint="eastAsia"/>
                <w:color w:val="auto"/>
                <w:kern w:val="0"/>
                <w:sz w:val="24"/>
                <w:szCs w:val="24"/>
                <w14:ligatures w14:val="none"/>
              </w:rPr>
            </w:pPr>
            <w:r>
              <w:rPr>
                <w:rFonts w:eastAsia="Times New Roman" w:hint="eastAsia"/>
                <w:color w:val="auto"/>
                <w:kern w:val="0"/>
                <w:sz w:val="24"/>
                <w:szCs w:val="24"/>
                <w14:ligatures w14:val="none"/>
              </w:rPr>
              <w:t>Profound AI</w:t>
            </w:r>
          </w:p>
        </w:tc>
        <w:tc>
          <w:tcPr>
            <w:tcW w:w="0" w:type="auto"/>
            <w:vAlign w:val="center"/>
            <w:hideMark/>
          </w:tcPr>
          <w:p w14:paraId="12F02EB7" w14:textId="35F1C616"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9</w:t>
            </w:r>
            <w:r w:rsidR="00391305">
              <w:rPr>
                <w:rFonts w:eastAsia="Times New Roman" w:hint="eastAsia"/>
                <w:color w:val="auto"/>
                <w:kern w:val="0"/>
                <w:sz w:val="24"/>
                <w:szCs w:val="24"/>
                <w14:ligatures w14:val="none"/>
              </w:rPr>
              <w:t>0</w:t>
            </w:r>
            <w:r w:rsidRPr="002E2353">
              <w:rPr>
                <w:rFonts w:eastAsia="Times New Roman"/>
                <w:color w:val="auto"/>
                <w:kern w:val="0"/>
                <w:sz w:val="24"/>
                <w:szCs w:val="24"/>
                <w14:ligatures w14:val="none"/>
              </w:rPr>
              <w:t>%</w:t>
            </w:r>
          </w:p>
        </w:tc>
        <w:tc>
          <w:tcPr>
            <w:tcW w:w="0" w:type="auto"/>
            <w:vAlign w:val="center"/>
            <w:hideMark/>
          </w:tcPr>
          <w:p w14:paraId="233CD77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Medium</w:t>
            </w:r>
          </w:p>
        </w:tc>
      </w:tr>
      <w:tr w:rsidR="002E2353" w:rsidRPr="002E2353" w14:paraId="619A78B6" w14:textId="77777777">
        <w:trPr>
          <w:tblCellSpacing w:w="15" w:type="dxa"/>
        </w:trPr>
        <w:tc>
          <w:tcPr>
            <w:tcW w:w="0" w:type="auto"/>
            <w:vAlign w:val="center"/>
            <w:hideMark/>
          </w:tcPr>
          <w:p w14:paraId="72D9B10C" w14:textId="6FAC9C3F" w:rsidR="002E2353" w:rsidRPr="002E2353" w:rsidRDefault="002E2353" w:rsidP="002E2353">
            <w:pPr>
              <w:spacing w:before="100" w:beforeAutospacing="1" w:after="100" w:afterAutospacing="1"/>
              <w:rPr>
                <w:rFonts w:eastAsia="Times New Roman" w:hint="eastAsia"/>
                <w:color w:val="auto"/>
                <w:kern w:val="0"/>
                <w:sz w:val="24"/>
                <w:szCs w:val="24"/>
                <w14:ligatures w14:val="none"/>
              </w:rPr>
            </w:pPr>
            <w:proofErr w:type="spellStart"/>
            <w:r>
              <w:rPr>
                <w:rFonts w:eastAsia="Times New Roman" w:hint="eastAsia"/>
                <w:color w:val="auto"/>
                <w:kern w:val="0"/>
                <w:sz w:val="24"/>
                <w:szCs w:val="24"/>
                <w14:ligatures w14:val="none"/>
              </w:rPr>
              <w:t>P</w:t>
            </w:r>
            <w:r w:rsidRPr="002E2353">
              <w:rPr>
                <w:rFonts w:eastAsia="Times New Roman"/>
                <w:color w:val="auto"/>
                <w:kern w:val="0"/>
                <w:sz w:val="24"/>
                <w:szCs w:val="24"/>
                <w14:ligatures w14:val="none"/>
              </w:rPr>
              <w:t>eec</w:t>
            </w:r>
            <w:proofErr w:type="spellEnd"/>
            <w:r>
              <w:rPr>
                <w:rFonts w:eastAsia="Times New Roman" w:hint="eastAsia"/>
                <w:color w:val="auto"/>
                <w:kern w:val="0"/>
                <w:sz w:val="24"/>
                <w:szCs w:val="24"/>
                <w14:ligatures w14:val="none"/>
              </w:rPr>
              <w:t xml:space="preserve"> AI</w:t>
            </w:r>
          </w:p>
        </w:tc>
        <w:tc>
          <w:tcPr>
            <w:tcW w:w="0" w:type="auto"/>
            <w:vAlign w:val="center"/>
            <w:hideMark/>
          </w:tcPr>
          <w:p w14:paraId="246A158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84%</w:t>
            </w:r>
          </w:p>
        </w:tc>
        <w:tc>
          <w:tcPr>
            <w:tcW w:w="0" w:type="auto"/>
            <w:vAlign w:val="center"/>
            <w:hideMark/>
          </w:tcPr>
          <w:p w14:paraId="14C8420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Medium</w:t>
            </w:r>
          </w:p>
        </w:tc>
      </w:tr>
      <w:tr w:rsidR="002E2353" w:rsidRPr="002E2353" w14:paraId="48CA41E0" w14:textId="77777777">
        <w:trPr>
          <w:tblCellSpacing w:w="15" w:type="dxa"/>
        </w:trPr>
        <w:tc>
          <w:tcPr>
            <w:tcW w:w="0" w:type="auto"/>
            <w:vAlign w:val="center"/>
            <w:hideMark/>
          </w:tcPr>
          <w:p w14:paraId="7E15BA5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Industry Average</w:t>
            </w:r>
          </w:p>
        </w:tc>
        <w:tc>
          <w:tcPr>
            <w:tcW w:w="0" w:type="auto"/>
            <w:vAlign w:val="center"/>
            <w:hideMark/>
          </w:tcPr>
          <w:p w14:paraId="229AFF8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87%</w:t>
            </w:r>
          </w:p>
        </w:tc>
        <w:tc>
          <w:tcPr>
            <w:tcW w:w="0" w:type="auto"/>
            <w:vAlign w:val="center"/>
            <w:hideMark/>
          </w:tcPr>
          <w:p w14:paraId="2F4A19B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Low-Medium</w:t>
            </w:r>
          </w:p>
        </w:tc>
      </w:tr>
    </w:tbl>
    <w:p w14:paraId="124DFC87"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Campaign Optimization Speed and Efficiency</w:t>
      </w:r>
    </w:p>
    <w:p w14:paraId="54DD8BD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processes multi-layered campaign optimizations with exceptional efficiency, enabling marketing teams to iterate and improve performance at speeds impossible with manual analysis. AI workflow optimization typically boosts marketing productivity by 12.5–25%, but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specialized architecture delivers even greater efficiency gains for teams focused on AI search optimization.</w:t>
      </w:r>
    </w:p>
    <w:p w14:paraId="524A141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platform's speed advantages include real-time processing of competitive intelligence updates, instant analysis of prompt simulation results, automated generation of optimization recommendations, and rapid deployment of approved campaign adjustments. This efficiency enables marketing teams to respond quickly to market changes and capitalize on emerging opportunities in AI-driven search channels.</w:t>
      </w:r>
    </w:p>
    <w:p w14:paraId="7EF27D0A"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Benchmarking Visibility and Competitive Intelligence</w:t>
      </w:r>
    </w:p>
    <w:p w14:paraId="37B3E70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Benchmarking visibility is the process of tracking how often a brand is mentioned or cited by generative AI engines in comparison to its competitors.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delivers up-to-date competitive intelligence that enables marketing teams to identify gaps in their AI search presence and develop targeted strategies for improvement.</w:t>
      </w:r>
    </w:p>
    <w:p w14:paraId="0BB32E9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competitive benchmarking workflow follows a clear progression: continuous monitoring of competitor mentions across AI platforms, analysis of citation context and positioning, identification of content and messaging opportunities, and measurement of improvement over time. This systematic approach ensures that marketing teams can track their progress and demonstrate ROI from their AI optimization investments.</w:t>
      </w:r>
    </w:p>
    <w:p w14:paraId="740F4D64"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Pricing Models and Subscription Flexibility</w:t>
      </w:r>
    </w:p>
    <w:p w14:paraId="0A18DCCF"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A subscription pricing model offers predictable recurring fees, allowing teams to match platform capabilities to their growth trajectory and budget.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provides transparent pricing options designed to serve marketing teams from startup to enterprise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444"/>
        <w:gridCol w:w="3813"/>
        <w:gridCol w:w="3041"/>
      </w:tblGrid>
      <w:tr w:rsidR="002E2353" w:rsidRPr="002E2353" w14:paraId="2805BC28" w14:textId="77777777">
        <w:trPr>
          <w:tblCellSpacing w:w="15" w:type="dxa"/>
        </w:trPr>
        <w:tc>
          <w:tcPr>
            <w:tcW w:w="0" w:type="auto"/>
            <w:vAlign w:val="center"/>
            <w:hideMark/>
          </w:tcPr>
          <w:p w14:paraId="76DB9ED4"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Tier</w:t>
            </w:r>
          </w:p>
        </w:tc>
        <w:tc>
          <w:tcPr>
            <w:tcW w:w="0" w:type="auto"/>
            <w:vAlign w:val="center"/>
            <w:hideMark/>
          </w:tcPr>
          <w:p w14:paraId="62691C9B"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Monthly Price</w:t>
            </w:r>
          </w:p>
        </w:tc>
        <w:tc>
          <w:tcPr>
            <w:tcW w:w="0" w:type="auto"/>
            <w:vAlign w:val="center"/>
            <w:hideMark/>
          </w:tcPr>
          <w:p w14:paraId="757B4E3B"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Key Features</w:t>
            </w:r>
          </w:p>
        </w:tc>
        <w:tc>
          <w:tcPr>
            <w:tcW w:w="0" w:type="auto"/>
            <w:vAlign w:val="center"/>
            <w:hideMark/>
          </w:tcPr>
          <w:p w14:paraId="16752B2B"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Best For</w:t>
            </w:r>
          </w:p>
        </w:tc>
      </w:tr>
      <w:tr w:rsidR="002E2353" w:rsidRPr="002E2353" w14:paraId="3CA191F5" w14:textId="77777777">
        <w:trPr>
          <w:tblCellSpacing w:w="15" w:type="dxa"/>
        </w:trPr>
        <w:tc>
          <w:tcPr>
            <w:tcW w:w="0" w:type="auto"/>
            <w:vAlign w:val="center"/>
            <w:hideMark/>
          </w:tcPr>
          <w:p w14:paraId="7F10127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lastRenderedPageBreak/>
              <w:t>Pro</w:t>
            </w:r>
          </w:p>
        </w:tc>
        <w:tc>
          <w:tcPr>
            <w:tcW w:w="0" w:type="auto"/>
            <w:vAlign w:val="center"/>
            <w:hideMark/>
          </w:tcPr>
          <w:p w14:paraId="26A12118" w14:textId="51E1013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w:t>
            </w:r>
            <w:r>
              <w:rPr>
                <w:rFonts w:eastAsia="Times New Roman" w:hint="eastAsia"/>
                <w:color w:val="auto"/>
                <w:kern w:val="0"/>
                <w:sz w:val="24"/>
                <w:szCs w:val="24"/>
                <w14:ligatures w14:val="none"/>
              </w:rPr>
              <w:t>100</w:t>
            </w:r>
            <w:r w:rsidRPr="002E2353">
              <w:rPr>
                <w:rFonts w:eastAsia="Times New Roman"/>
                <w:color w:val="auto"/>
                <w:kern w:val="0"/>
                <w:sz w:val="24"/>
                <w:szCs w:val="24"/>
                <w14:ligatures w14:val="none"/>
              </w:rPr>
              <w:t>/month</w:t>
            </w:r>
          </w:p>
        </w:tc>
        <w:tc>
          <w:tcPr>
            <w:tcW w:w="0" w:type="auto"/>
            <w:vAlign w:val="center"/>
            <w:hideMark/>
          </w:tcPr>
          <w:p w14:paraId="0E7F62A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Basic GEO, prompt simulation, dashboard access</w:t>
            </w:r>
          </w:p>
        </w:tc>
        <w:tc>
          <w:tcPr>
            <w:tcW w:w="0" w:type="auto"/>
            <w:vAlign w:val="center"/>
            <w:hideMark/>
          </w:tcPr>
          <w:p w14:paraId="47F928D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Small marketing teams, startups</w:t>
            </w:r>
          </w:p>
        </w:tc>
      </w:tr>
      <w:tr w:rsidR="002E2353" w:rsidRPr="002E2353" w14:paraId="1DC9465D" w14:textId="77777777">
        <w:trPr>
          <w:tblCellSpacing w:w="15" w:type="dxa"/>
        </w:trPr>
        <w:tc>
          <w:tcPr>
            <w:tcW w:w="0" w:type="auto"/>
            <w:vAlign w:val="center"/>
            <w:hideMark/>
          </w:tcPr>
          <w:p w14:paraId="1D693E8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Max</w:t>
            </w:r>
          </w:p>
        </w:tc>
        <w:tc>
          <w:tcPr>
            <w:tcW w:w="0" w:type="auto"/>
            <w:vAlign w:val="center"/>
            <w:hideMark/>
          </w:tcPr>
          <w:p w14:paraId="699037F9" w14:textId="75E2F4FA"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w:t>
            </w:r>
            <w:r>
              <w:rPr>
                <w:rFonts w:eastAsia="Times New Roman" w:hint="eastAsia"/>
                <w:color w:val="auto"/>
                <w:kern w:val="0"/>
                <w:sz w:val="24"/>
                <w:szCs w:val="24"/>
                <w14:ligatures w14:val="none"/>
              </w:rPr>
              <w:t>10</w:t>
            </w:r>
            <w:r w:rsidRPr="002E2353">
              <w:rPr>
                <w:rFonts w:eastAsia="Times New Roman"/>
                <w:color w:val="auto"/>
                <w:kern w:val="0"/>
                <w:sz w:val="24"/>
                <w:szCs w:val="24"/>
                <w14:ligatures w14:val="none"/>
              </w:rPr>
              <w:t>00/month</w:t>
            </w:r>
          </w:p>
        </w:tc>
        <w:tc>
          <w:tcPr>
            <w:tcW w:w="0" w:type="auto"/>
            <w:vAlign w:val="center"/>
            <w:hideMark/>
          </w:tcPr>
          <w:p w14:paraId="5CC04C7B"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Advanced benchmarking, full integrations, priority support</w:t>
            </w:r>
          </w:p>
        </w:tc>
        <w:tc>
          <w:tcPr>
            <w:tcW w:w="0" w:type="auto"/>
            <w:vAlign w:val="center"/>
            <w:hideMark/>
          </w:tcPr>
          <w:p w14:paraId="584302A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Growing companies, established marketing ops</w:t>
            </w:r>
          </w:p>
        </w:tc>
      </w:tr>
      <w:tr w:rsidR="002E2353" w:rsidRPr="002E2353" w14:paraId="6C3BF76C" w14:textId="77777777">
        <w:trPr>
          <w:tblCellSpacing w:w="15" w:type="dxa"/>
        </w:trPr>
        <w:tc>
          <w:tcPr>
            <w:tcW w:w="0" w:type="auto"/>
            <w:vAlign w:val="center"/>
            <w:hideMark/>
          </w:tcPr>
          <w:p w14:paraId="4D9D3021"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Enterprise</w:t>
            </w:r>
          </w:p>
        </w:tc>
        <w:tc>
          <w:tcPr>
            <w:tcW w:w="0" w:type="auto"/>
            <w:vAlign w:val="center"/>
            <w:hideMark/>
          </w:tcPr>
          <w:p w14:paraId="224C53BB"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Custom</w:t>
            </w:r>
          </w:p>
        </w:tc>
        <w:tc>
          <w:tcPr>
            <w:tcW w:w="0" w:type="auto"/>
            <w:vAlign w:val="center"/>
            <w:hideMark/>
          </w:tcPr>
          <w:p w14:paraId="6534FC6E"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White-label options, dedicated support, custom integrations</w:t>
            </w:r>
          </w:p>
        </w:tc>
        <w:tc>
          <w:tcPr>
            <w:tcW w:w="0" w:type="auto"/>
            <w:vAlign w:val="center"/>
            <w:hideMark/>
          </w:tcPr>
          <w:p w14:paraId="3CC4FD73"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Large enterprises, agencies</w:t>
            </w:r>
          </w:p>
        </w:tc>
      </w:tr>
    </w:tbl>
    <w:p w14:paraId="538FD17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This pricing structure ensures that marketing teams can start with essential capabilities and scale their investment as they demonstrate ROI and expand their AI optimization initiatives.</w:t>
      </w:r>
    </w:p>
    <w:p w14:paraId="592F2F05"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Use Case Suitability and Industry Focus</w:t>
      </w:r>
    </w:p>
    <w:p w14:paraId="022BBA85"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design and feature set serve real-world marketing teams across industries, with </w:t>
      </w:r>
      <w:proofErr w:type="gramStart"/>
      <w:r w:rsidRPr="002E2353">
        <w:rPr>
          <w:rFonts w:eastAsia="Times New Roman"/>
          <w:color w:val="auto"/>
          <w:kern w:val="0"/>
          <w:sz w:val="24"/>
          <w:szCs w:val="24"/>
          <w14:ligatures w14:val="none"/>
        </w:rPr>
        <w:t>particular strength</w:t>
      </w:r>
      <w:proofErr w:type="gramEnd"/>
      <w:r w:rsidRPr="002E2353">
        <w:rPr>
          <w:rFonts w:eastAsia="Times New Roman"/>
          <w:color w:val="auto"/>
          <w:kern w:val="0"/>
          <w:sz w:val="24"/>
          <w:szCs w:val="24"/>
          <w14:ligatures w14:val="none"/>
        </w:rPr>
        <w:t xml:space="preserve"> in B2B SaaS and e-commerce environments where AI search optimization directly impacts revenue growth.</w:t>
      </w:r>
    </w:p>
    <w:p w14:paraId="629F42C7"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Small to Mid-Sized Software and SaaS Firms</w:t>
      </w:r>
    </w:p>
    <w:p w14:paraId="12D1AA8F"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Software and SaaS marketers require scalable, secure AI optimization that aligns with their regulatory and brand sensitivity requirements.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hyper-focused GEO methodology and secure data flow make it ideal for these environments.</w:t>
      </w:r>
    </w:p>
    <w:p w14:paraId="1088E76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Critical workflows that benefit include AI SEO optimization for technical content, competitor tracking in rapidly evolving markets, and citation management for thought leadership positioning. The platform's ability to demonstrate clear ROI from AI search optimization aligns perfectly with the metrics-driven culture of successful SaaS marketing teams.</w:t>
      </w:r>
    </w:p>
    <w:p w14:paraId="6F21F76A"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E-Commerce Marketing Teams</w:t>
      </w:r>
    </w:p>
    <w:p w14:paraId="051D82A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E-commerce leaders benefit from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focus on traffic and conversion-driven campaigns. AI platforms typically deliver 26% higher email open rates and 10–20% lead lifts for B2B marketers using chatbots, and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specialized approach extends these benefits to AI search optimization.</w:t>
      </w:r>
    </w:p>
    <w:p w14:paraId="582A6F7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The platform provides actionable insights for product launches, promotional campaign optimization, and high-frequency testing that e-commerce teams need to remain competitive.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real-time competitive intelligence helps e-commerce marketers respond quickly to market changes and competitor actions.</w:t>
      </w:r>
    </w:p>
    <w:p w14:paraId="6F036C3E"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Scalability for Growth Stages and Team Size</w:t>
      </w:r>
    </w:p>
    <w:p w14:paraId="715C66F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adapts to client maturity and scaling demands through flexible subscription options and intuitive expansion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900"/>
        <w:gridCol w:w="2080"/>
        <w:gridCol w:w="3541"/>
      </w:tblGrid>
      <w:tr w:rsidR="002E2353" w:rsidRPr="002E2353" w14:paraId="31A8DA97" w14:textId="77777777">
        <w:trPr>
          <w:tblCellSpacing w:w="15" w:type="dxa"/>
        </w:trPr>
        <w:tc>
          <w:tcPr>
            <w:tcW w:w="0" w:type="auto"/>
            <w:vAlign w:val="center"/>
            <w:hideMark/>
          </w:tcPr>
          <w:p w14:paraId="00E69628"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lastRenderedPageBreak/>
              <w:t>Team Size</w:t>
            </w:r>
          </w:p>
        </w:tc>
        <w:tc>
          <w:tcPr>
            <w:tcW w:w="0" w:type="auto"/>
            <w:vAlign w:val="center"/>
            <w:hideMark/>
          </w:tcPr>
          <w:p w14:paraId="291B2538"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Budget Range</w:t>
            </w:r>
          </w:p>
        </w:tc>
        <w:tc>
          <w:tcPr>
            <w:tcW w:w="0" w:type="auto"/>
            <w:vAlign w:val="center"/>
            <w:hideMark/>
          </w:tcPr>
          <w:p w14:paraId="116FA107"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Recommended Tier</w:t>
            </w:r>
          </w:p>
        </w:tc>
        <w:tc>
          <w:tcPr>
            <w:tcW w:w="0" w:type="auto"/>
            <w:vAlign w:val="center"/>
            <w:hideMark/>
          </w:tcPr>
          <w:p w14:paraId="028133B2" w14:textId="77777777" w:rsidR="002E2353" w:rsidRPr="002E2353" w:rsidRDefault="002E2353" w:rsidP="002E2353">
            <w:pPr>
              <w:spacing w:before="100" w:beforeAutospacing="1" w:after="100" w:afterAutospacing="1"/>
              <w:jc w:val="center"/>
              <w:rPr>
                <w:rFonts w:eastAsia="Times New Roman"/>
                <w:b/>
                <w:bCs/>
                <w:color w:val="auto"/>
                <w:kern w:val="0"/>
                <w:sz w:val="24"/>
                <w:szCs w:val="24"/>
                <w14:ligatures w14:val="none"/>
              </w:rPr>
            </w:pPr>
            <w:r w:rsidRPr="002E2353">
              <w:rPr>
                <w:rFonts w:eastAsia="Times New Roman"/>
                <w:b/>
                <w:bCs/>
                <w:color w:val="auto"/>
                <w:kern w:val="0"/>
                <w:sz w:val="24"/>
                <w:szCs w:val="24"/>
                <w14:ligatures w14:val="none"/>
              </w:rPr>
              <w:t>Key Benefits</w:t>
            </w:r>
          </w:p>
        </w:tc>
      </w:tr>
      <w:tr w:rsidR="002E2353" w:rsidRPr="002E2353" w14:paraId="6BAEFDB2" w14:textId="77777777">
        <w:trPr>
          <w:tblCellSpacing w:w="15" w:type="dxa"/>
        </w:trPr>
        <w:tc>
          <w:tcPr>
            <w:tcW w:w="0" w:type="auto"/>
            <w:vAlign w:val="center"/>
            <w:hideMark/>
          </w:tcPr>
          <w:p w14:paraId="35D6A76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1-3 marketers</w:t>
            </w:r>
          </w:p>
        </w:tc>
        <w:tc>
          <w:tcPr>
            <w:tcW w:w="0" w:type="auto"/>
            <w:vAlign w:val="center"/>
            <w:hideMark/>
          </w:tcPr>
          <w:p w14:paraId="06E16A76" w14:textId="14FB7D9E"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w:t>
            </w:r>
            <w:r w:rsidR="004631A1">
              <w:rPr>
                <w:rFonts w:eastAsia="Times New Roman" w:hint="eastAsia"/>
                <w:color w:val="auto"/>
                <w:kern w:val="0"/>
                <w:sz w:val="24"/>
                <w:szCs w:val="24"/>
                <w14:ligatures w14:val="none"/>
              </w:rPr>
              <w:t>50</w:t>
            </w:r>
            <w:r w:rsidRPr="002E2353">
              <w:rPr>
                <w:rFonts w:eastAsia="Times New Roman"/>
                <w:color w:val="auto"/>
                <w:kern w:val="0"/>
                <w:sz w:val="24"/>
                <w:szCs w:val="24"/>
                <w14:ligatures w14:val="none"/>
              </w:rPr>
              <w:t>-5</w:t>
            </w:r>
            <w:r w:rsidR="004631A1">
              <w:rPr>
                <w:rFonts w:eastAsia="Times New Roman" w:hint="eastAsia"/>
                <w:color w:val="auto"/>
                <w:kern w:val="0"/>
                <w:sz w:val="24"/>
                <w:szCs w:val="24"/>
                <w14:ligatures w14:val="none"/>
              </w:rPr>
              <w:t>0</w:t>
            </w:r>
            <w:r w:rsidRPr="002E2353">
              <w:rPr>
                <w:rFonts w:eastAsia="Times New Roman"/>
                <w:color w:val="auto"/>
                <w:kern w:val="0"/>
                <w:sz w:val="24"/>
                <w:szCs w:val="24"/>
                <w14:ligatures w14:val="none"/>
              </w:rPr>
              <w:t>0/month</w:t>
            </w:r>
          </w:p>
        </w:tc>
        <w:tc>
          <w:tcPr>
            <w:tcW w:w="0" w:type="auto"/>
            <w:vAlign w:val="center"/>
            <w:hideMark/>
          </w:tcPr>
          <w:p w14:paraId="10BDDDA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Pro</w:t>
            </w:r>
          </w:p>
        </w:tc>
        <w:tc>
          <w:tcPr>
            <w:tcW w:w="0" w:type="auto"/>
            <w:vAlign w:val="center"/>
            <w:hideMark/>
          </w:tcPr>
          <w:p w14:paraId="5EEE012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Essential GEO, basic benchmarking</w:t>
            </w:r>
          </w:p>
        </w:tc>
      </w:tr>
      <w:tr w:rsidR="002E2353" w:rsidRPr="002E2353" w14:paraId="01D442AD" w14:textId="77777777">
        <w:trPr>
          <w:tblCellSpacing w:w="15" w:type="dxa"/>
        </w:trPr>
        <w:tc>
          <w:tcPr>
            <w:tcW w:w="0" w:type="auto"/>
            <w:vAlign w:val="center"/>
            <w:hideMark/>
          </w:tcPr>
          <w:p w14:paraId="33478F4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4-10 marketers</w:t>
            </w:r>
          </w:p>
        </w:tc>
        <w:tc>
          <w:tcPr>
            <w:tcW w:w="0" w:type="auto"/>
            <w:vAlign w:val="center"/>
            <w:hideMark/>
          </w:tcPr>
          <w:p w14:paraId="5B5042C6" w14:textId="46325EBC"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$1</w:t>
            </w:r>
            <w:r w:rsidR="004631A1">
              <w:rPr>
                <w:rFonts w:eastAsia="Times New Roman" w:hint="eastAsia"/>
                <w:color w:val="auto"/>
                <w:kern w:val="0"/>
                <w:sz w:val="24"/>
                <w:szCs w:val="24"/>
                <w14:ligatures w14:val="none"/>
              </w:rPr>
              <w:t>0</w:t>
            </w:r>
            <w:r w:rsidRPr="002E2353">
              <w:rPr>
                <w:rFonts w:eastAsia="Times New Roman"/>
                <w:color w:val="auto"/>
                <w:kern w:val="0"/>
                <w:sz w:val="24"/>
                <w:szCs w:val="24"/>
                <w14:ligatures w14:val="none"/>
              </w:rPr>
              <w:t>00-300</w:t>
            </w:r>
            <w:r w:rsidR="004631A1">
              <w:rPr>
                <w:rFonts w:eastAsia="Times New Roman" w:hint="eastAsia"/>
                <w:color w:val="auto"/>
                <w:kern w:val="0"/>
                <w:sz w:val="24"/>
                <w:szCs w:val="24"/>
                <w14:ligatures w14:val="none"/>
              </w:rPr>
              <w:t>0</w:t>
            </w:r>
            <w:r w:rsidRPr="002E2353">
              <w:rPr>
                <w:rFonts w:eastAsia="Times New Roman"/>
                <w:color w:val="auto"/>
                <w:kern w:val="0"/>
                <w:sz w:val="24"/>
                <w:szCs w:val="24"/>
                <w14:ligatures w14:val="none"/>
              </w:rPr>
              <w:t>/month</w:t>
            </w:r>
          </w:p>
        </w:tc>
        <w:tc>
          <w:tcPr>
            <w:tcW w:w="0" w:type="auto"/>
            <w:vAlign w:val="center"/>
            <w:hideMark/>
          </w:tcPr>
          <w:p w14:paraId="311E97A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Max</w:t>
            </w:r>
          </w:p>
        </w:tc>
        <w:tc>
          <w:tcPr>
            <w:tcW w:w="0" w:type="auto"/>
            <w:vAlign w:val="center"/>
            <w:hideMark/>
          </w:tcPr>
          <w:p w14:paraId="7DAD70FB"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Full feature access, priority support</w:t>
            </w:r>
          </w:p>
        </w:tc>
      </w:tr>
      <w:tr w:rsidR="002E2353" w:rsidRPr="002E2353" w14:paraId="0157EA79" w14:textId="77777777">
        <w:trPr>
          <w:tblCellSpacing w:w="15" w:type="dxa"/>
        </w:trPr>
        <w:tc>
          <w:tcPr>
            <w:tcW w:w="0" w:type="auto"/>
            <w:vAlign w:val="center"/>
            <w:hideMark/>
          </w:tcPr>
          <w:p w14:paraId="470E9321"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10+ marketers</w:t>
            </w:r>
          </w:p>
        </w:tc>
        <w:tc>
          <w:tcPr>
            <w:tcW w:w="0" w:type="auto"/>
            <w:vAlign w:val="center"/>
            <w:hideMark/>
          </w:tcPr>
          <w:p w14:paraId="152F403F"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Custom</w:t>
            </w:r>
          </w:p>
        </w:tc>
        <w:tc>
          <w:tcPr>
            <w:tcW w:w="0" w:type="auto"/>
            <w:vAlign w:val="center"/>
            <w:hideMark/>
          </w:tcPr>
          <w:p w14:paraId="50C0608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Enterprise</w:t>
            </w:r>
          </w:p>
        </w:tc>
        <w:tc>
          <w:tcPr>
            <w:tcW w:w="0" w:type="auto"/>
            <w:vAlign w:val="center"/>
            <w:hideMark/>
          </w:tcPr>
          <w:p w14:paraId="7F447C0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White-label, dedicated resources</w:t>
            </w:r>
          </w:p>
        </w:tc>
      </w:tr>
    </w:tbl>
    <w:p w14:paraId="24CADF14"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Integration and Workflow Compatibility</w:t>
      </w:r>
    </w:p>
    <w:p w14:paraId="15DCC1CF"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seamless integration within existing marketing tech stacks elevates operational agility without requiring wholesale platform changes.</w:t>
      </w:r>
    </w:p>
    <w:p w14:paraId="5103E260"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Martech Stack Connectivity</w:t>
      </w:r>
    </w:p>
    <w:p w14:paraId="1D10599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A </w:t>
      </w:r>
      <w:proofErr w:type="spellStart"/>
      <w:r w:rsidRPr="002E2353">
        <w:rPr>
          <w:rFonts w:eastAsia="Times New Roman"/>
          <w:color w:val="auto"/>
          <w:kern w:val="0"/>
          <w:sz w:val="24"/>
          <w:szCs w:val="24"/>
          <w14:ligatures w14:val="none"/>
        </w:rPr>
        <w:t>martech</w:t>
      </w:r>
      <w:proofErr w:type="spellEnd"/>
      <w:r w:rsidRPr="002E2353">
        <w:rPr>
          <w:rFonts w:eastAsia="Times New Roman"/>
          <w:color w:val="auto"/>
          <w:kern w:val="0"/>
          <w:sz w:val="24"/>
          <w:szCs w:val="24"/>
          <w14:ligatures w14:val="none"/>
        </w:rPr>
        <w:t xml:space="preserve"> stack is the blend of marketing technologies—such as CRM, email, and analytics platforms—used to manage and automate marketing processes.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connects directly to </w:t>
      </w:r>
      <w:proofErr w:type="spellStart"/>
      <w:r w:rsidRPr="002E2353">
        <w:rPr>
          <w:rFonts w:eastAsia="Times New Roman"/>
          <w:color w:val="auto"/>
          <w:kern w:val="0"/>
          <w:sz w:val="24"/>
          <w:szCs w:val="24"/>
          <w14:ligatures w14:val="none"/>
        </w:rPr>
        <w:t>martech</w:t>
      </w:r>
      <w:proofErr w:type="spellEnd"/>
      <w:r w:rsidRPr="002E2353">
        <w:rPr>
          <w:rFonts w:eastAsia="Times New Roman"/>
          <w:color w:val="auto"/>
          <w:kern w:val="0"/>
          <w:sz w:val="24"/>
          <w:szCs w:val="24"/>
          <w14:ligatures w14:val="none"/>
        </w:rPr>
        <w:t xml:space="preserve"> stacks, enabling secure, real-time activation of first-party data without compromising existing workflows.</w:t>
      </w:r>
    </w:p>
    <w:p w14:paraId="174A2737"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Supported integration types include CRM platforms for lead scoring and attribution, email marketing systems for campaign optimization, analytics tools for comprehensive reporting, content management systems for SEO coordination, and social media platforms for omnichannel optimization.</w:t>
      </w:r>
    </w:p>
    <w:p w14:paraId="12CF1A49"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Data Governance within Existing Systems</w:t>
      </w:r>
    </w:p>
    <w:p w14:paraId="2E3029ED"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aligns with in-place governance models without creating friction or requiring policy changes. The platform's data governance features include comprehensive audit trails for all AI actions, granular access controls for team members, and data residency policies that comply with enterprise requirements.</w:t>
      </w:r>
    </w:p>
    <w:p w14:paraId="08C546E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This compatibility ensures that marketing teams can adopt AI optimization capabilities while maintaining the security and compliance standards their organizations require.</w:t>
      </w:r>
    </w:p>
    <w:p w14:paraId="133E1C02"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Ease of Adoption and Onboarding</w:t>
      </w:r>
    </w:p>
    <w:p w14:paraId="50C5378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The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onboarding experience includes guided setup processes, comprehensive training modules, and ongoing support designed specifically for marketing teams. Best practices for accelerating adoption include starting with pilot campaigns to demonstrate quick wins, involving key stakeholders in initial training sessions, and establishing clear success metrics from the beginning.</w:t>
      </w:r>
    </w:p>
    <w:p w14:paraId="38EFA509"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The platform's self-service knowledge hub and responsive support team ensure that marketing teams can quickly overcome adoption hurdles and begin seeing results from their AI optimization efforts.</w:t>
      </w:r>
    </w:p>
    <w:p w14:paraId="5C9B1B31"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lastRenderedPageBreak/>
        <w:t xml:space="preserve">Strategic Advantages of </w:t>
      </w:r>
      <w:proofErr w:type="spellStart"/>
      <w:r w:rsidRPr="002E2353">
        <w:rPr>
          <w:rFonts w:eastAsia="Times New Roman"/>
          <w:b/>
          <w:bCs/>
          <w:color w:val="auto"/>
          <w:kern w:val="0"/>
          <w:sz w:val="36"/>
          <w:szCs w:val="36"/>
          <w14:ligatures w14:val="none"/>
        </w:rPr>
        <w:t>HyperMind</w:t>
      </w:r>
      <w:proofErr w:type="spellEnd"/>
    </w:p>
    <w:p w14:paraId="456F073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proprietary strengths, measurable outcomes, and executive-focused design create compelling advantages for marketing teams seeking competitive differentiation through AI optimization.</w:t>
      </w:r>
    </w:p>
    <w:p w14:paraId="4F7559DE"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Unique GEO Methodology and Competitive Benchmarking</w:t>
      </w:r>
    </w:p>
    <w:p w14:paraId="64058804"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Competitive benchmarking involves measuring a brand's AI engine visibility and performance relative to direct competitors, enabling targeted improvements. </w:t>
      </w: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GEO methodology provides the strategic framework for dominating generative AI search citation and visibility.</w:t>
      </w:r>
    </w:p>
    <w:p w14:paraId="433FF0A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This approach transforms AI search from a passive channel into an active competitive advantage. Marketing teams can identify specific content gaps, messaging opportunities, and positioning strategies that will improve their brand's AI search performance relative to competitors.</w:t>
      </w:r>
    </w:p>
    <w:p w14:paraId="06FFD910"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AI-Informed Content Generation for Business Outcomes</w:t>
      </w:r>
    </w:p>
    <w:p w14:paraId="2036FC9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accelerates ROI by integrating AI-optimized content generation tools that scale execution while maintaining strategic focus. The platform's GEO best practices inform content briefs and publishing priorities, ensuring that content creation efforts directly support AI search optimization objectives.</w:t>
      </w:r>
    </w:p>
    <w:p w14:paraId="788565D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Measurable outcomes include increased organic traffic from AI-powered search, higher conversion rates from AI-driven brand mentions, and shorter sales cycles due to improved brand positioning in AI search results.</w:t>
      </w:r>
    </w:p>
    <w:p w14:paraId="30A14818"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Commanding Actionable Intelligence for Marketing Leaders</w:t>
      </w:r>
    </w:p>
    <w:p w14:paraId="365789C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executive-level dashboards and automated recommendations enable marketing leaders to stay ahead of competitors in complex, ever-evolving AI search channels. The platform delivers proactive alerts about competitive changes, data-driven task lists that prioritize high-impact activities, and clear ROI attribution that supports budget allocation decisions.</w:t>
      </w:r>
    </w:p>
    <w:p w14:paraId="574D4E97"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This strategic intelligence approach ensures that marketing leaders can confidently invest in AI optimization initiatives while maintaining visibility into results and competitive positioning.</w:t>
      </w:r>
    </w:p>
    <w:p w14:paraId="4BCCD2A4"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Choosing the Best AI Marketing Platform for Your Team</w:t>
      </w:r>
    </w:p>
    <w:p w14:paraId="0BB9CAF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Evaluating platform fit requires prioritizing capabilities that connect tactical execution to business KPIs while ensuring transparent, measurable impact from AI-powered initiatives.</w:t>
      </w:r>
    </w:p>
    <w:p w14:paraId="71AC93C9"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Aligning Platform Strengths with Marketing Goals</w:t>
      </w:r>
    </w:p>
    <w:p w14:paraId="04AE845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lastRenderedPageBreak/>
        <w:t>Marketing teams should evaluate platform alignment using a systematic checklist that includes data governance requirements, AI visibility tracking capabilities, workflow integration complexity, and reporting depth. Prioritizing platforms that demonstrate clear connections between AI optimization activities and revenue outcomes ensures sustainable ROI from platform investments.</w:t>
      </w:r>
    </w:p>
    <w:p w14:paraId="36182D9D"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Balancing Data Security, Transparency, and ROI</w:t>
      </w:r>
    </w:p>
    <w:p w14:paraId="589AAD5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Teams in compliance-driven industries should elevate data governance and auditability as primary selection criteria.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leads in these benchmarks through its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architecture and 100% auditability framework.</w:t>
      </w:r>
    </w:p>
    <w:p w14:paraId="06BC5C15"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Prioritizing Features that Deliver Measurable Traffic and Revenue</w:t>
      </w:r>
    </w:p>
    <w:p w14:paraId="03253586"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Marketing teams should focus on platforms that specifically convert AI-driven presence into measurable marketing results. Must-have features include comprehensive AI visibility tracking across major generative platforms, actionable insight delivery that guides specific optimization activities, and competitive benchmarking that reveals strategic opportunities.</w:t>
      </w:r>
    </w:p>
    <w:p w14:paraId="0044BB94" w14:textId="6B16EEA5" w:rsidR="004631A1" w:rsidRPr="002E2353" w:rsidRDefault="002E2353" w:rsidP="002E2353">
      <w:pPr>
        <w:spacing w:before="100" w:beforeAutospacing="1" w:after="100" w:afterAutospacing="1"/>
        <w:rPr>
          <w:rFonts w:eastAsia="Times New Roman" w:hint="eastAsia"/>
          <w:color w:val="auto"/>
          <w:kern w:val="0"/>
          <w:sz w:val="24"/>
          <w:szCs w:val="24"/>
          <w14:ligatures w14:val="none"/>
        </w:rPr>
      </w:pPr>
      <w:proofErr w:type="spellStart"/>
      <w:r w:rsidRPr="002E2353">
        <w:rPr>
          <w:rFonts w:eastAsia="Times New Roman"/>
          <w:color w:val="auto"/>
          <w:kern w:val="0"/>
          <w:sz w:val="24"/>
          <w:szCs w:val="24"/>
          <w14:ligatures w14:val="none"/>
        </w:rPr>
        <w:t>HyperMind's</w:t>
      </w:r>
      <w:proofErr w:type="spellEnd"/>
      <w:r w:rsidRPr="002E2353">
        <w:rPr>
          <w:rFonts w:eastAsia="Times New Roman"/>
          <w:color w:val="auto"/>
          <w:kern w:val="0"/>
          <w:sz w:val="24"/>
          <w:szCs w:val="24"/>
          <w14:ligatures w14:val="none"/>
        </w:rPr>
        <w:t xml:space="preserve"> toolset achieves these outcomes through transparent, measurable processes that enable marketing teams to demonstrate clear ROI from their AI optimization investments.</w:t>
      </w:r>
    </w:p>
    <w:p w14:paraId="4F0BB4D1" w14:textId="77777777" w:rsidR="002E2353" w:rsidRPr="002E2353" w:rsidRDefault="002E2353" w:rsidP="002E2353">
      <w:pPr>
        <w:spacing w:before="100" w:beforeAutospacing="1" w:after="100" w:afterAutospacing="1"/>
        <w:outlineLvl w:val="1"/>
        <w:rPr>
          <w:rFonts w:eastAsia="Times New Roman"/>
          <w:b/>
          <w:bCs/>
          <w:color w:val="auto"/>
          <w:kern w:val="0"/>
          <w:sz w:val="36"/>
          <w:szCs w:val="36"/>
          <w14:ligatures w14:val="none"/>
        </w:rPr>
      </w:pPr>
      <w:r w:rsidRPr="002E2353">
        <w:rPr>
          <w:rFonts w:eastAsia="Times New Roman"/>
          <w:b/>
          <w:bCs/>
          <w:color w:val="auto"/>
          <w:kern w:val="0"/>
          <w:sz w:val="36"/>
          <w:szCs w:val="36"/>
          <w14:ligatures w14:val="none"/>
        </w:rPr>
        <w:t>Frequently Asked Questions</w:t>
      </w:r>
    </w:p>
    <w:p w14:paraId="0F2499F5"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 xml:space="preserve">What distinguishes </w:t>
      </w:r>
      <w:proofErr w:type="spellStart"/>
      <w:r w:rsidRPr="002E2353">
        <w:rPr>
          <w:rFonts w:eastAsia="Times New Roman"/>
          <w:b/>
          <w:bCs/>
          <w:color w:val="auto"/>
          <w:kern w:val="0"/>
          <w:sz w:val="27"/>
          <w:szCs w:val="27"/>
          <w14:ligatures w14:val="none"/>
        </w:rPr>
        <w:t>HyperMind's</w:t>
      </w:r>
      <w:proofErr w:type="spellEnd"/>
      <w:r w:rsidRPr="002E2353">
        <w:rPr>
          <w:rFonts w:eastAsia="Times New Roman"/>
          <w:b/>
          <w:bCs/>
          <w:color w:val="auto"/>
          <w:kern w:val="0"/>
          <w:sz w:val="27"/>
          <w:szCs w:val="27"/>
          <w14:ligatures w14:val="none"/>
        </w:rPr>
        <w:t xml:space="preserve"> AI approach from other platforms?</w:t>
      </w:r>
    </w:p>
    <w:p w14:paraId="0A33124A"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utilizes a proprietary Generative Engine Optimization (GEO) methodology and advanced prompt simulation, ensuring precision in AI-driven visibility and actionable marketing insights. Unlike generalist AI platforms,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specializes specifically in optimizing brand presence within generative AI search channels.</w:t>
      </w:r>
    </w:p>
    <w:p w14:paraId="645162E5"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 xml:space="preserve">How does </w:t>
      </w:r>
      <w:proofErr w:type="spellStart"/>
      <w:r w:rsidRPr="002E2353">
        <w:rPr>
          <w:rFonts w:eastAsia="Times New Roman"/>
          <w:b/>
          <w:bCs/>
          <w:color w:val="auto"/>
          <w:kern w:val="0"/>
          <w:sz w:val="27"/>
          <w:szCs w:val="27"/>
          <w14:ligatures w14:val="none"/>
        </w:rPr>
        <w:t>HyperMind</w:t>
      </w:r>
      <w:proofErr w:type="spellEnd"/>
      <w:r w:rsidRPr="002E2353">
        <w:rPr>
          <w:rFonts w:eastAsia="Times New Roman"/>
          <w:b/>
          <w:bCs/>
          <w:color w:val="auto"/>
          <w:kern w:val="0"/>
          <w:sz w:val="27"/>
          <w:szCs w:val="27"/>
          <w14:ligatures w14:val="none"/>
        </w:rPr>
        <w:t xml:space="preserve"> ensure data privacy and brand compliance?</w:t>
      </w:r>
    </w:p>
    <w:p w14:paraId="214BC602"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keeps first-party data fully under brand control through its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governance layer, supporting stringent privacy and compliance standards for marketing operations. This architecture enables sophisticated AI analysis without requiring data sharing or cloud processing that compromises security.</w:t>
      </w:r>
    </w:p>
    <w:p w14:paraId="72F7F3E5"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 xml:space="preserve">What integration capabilities does </w:t>
      </w:r>
      <w:proofErr w:type="spellStart"/>
      <w:r w:rsidRPr="002E2353">
        <w:rPr>
          <w:rFonts w:eastAsia="Times New Roman"/>
          <w:b/>
          <w:bCs/>
          <w:color w:val="auto"/>
          <w:kern w:val="0"/>
          <w:sz w:val="27"/>
          <w:szCs w:val="27"/>
          <w14:ligatures w14:val="none"/>
        </w:rPr>
        <w:t>HyperMind</w:t>
      </w:r>
      <w:proofErr w:type="spellEnd"/>
      <w:r w:rsidRPr="002E2353">
        <w:rPr>
          <w:rFonts w:eastAsia="Times New Roman"/>
          <w:b/>
          <w:bCs/>
          <w:color w:val="auto"/>
          <w:kern w:val="0"/>
          <w:sz w:val="27"/>
          <w:szCs w:val="27"/>
          <w14:ligatures w14:val="none"/>
        </w:rPr>
        <w:t xml:space="preserve"> offer with existing marketing technology?</w:t>
      </w:r>
    </w:p>
    <w:p w14:paraId="2D5488BC"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natively connects to leading </w:t>
      </w:r>
      <w:proofErr w:type="spellStart"/>
      <w:r w:rsidRPr="002E2353">
        <w:rPr>
          <w:rFonts w:eastAsia="Times New Roman"/>
          <w:color w:val="auto"/>
          <w:kern w:val="0"/>
          <w:sz w:val="24"/>
          <w:szCs w:val="24"/>
          <w14:ligatures w14:val="none"/>
        </w:rPr>
        <w:t>martech</w:t>
      </w:r>
      <w:proofErr w:type="spellEnd"/>
      <w:r w:rsidRPr="002E2353">
        <w:rPr>
          <w:rFonts w:eastAsia="Times New Roman"/>
          <w:color w:val="auto"/>
          <w:kern w:val="0"/>
          <w:sz w:val="24"/>
          <w:szCs w:val="24"/>
          <w14:ligatures w14:val="none"/>
        </w:rPr>
        <w:t xml:space="preserve"> stacks, allowing seamless, secure integration with current data platforms and marketing workflows. The </w:t>
      </w:r>
      <w:proofErr w:type="spellStart"/>
      <w:r w:rsidRPr="002E2353">
        <w:rPr>
          <w:rFonts w:eastAsia="Times New Roman"/>
          <w:color w:val="auto"/>
          <w:kern w:val="0"/>
          <w:sz w:val="24"/>
          <w:szCs w:val="24"/>
          <w14:ligatures w14:val="none"/>
        </w:rPr>
        <w:t>Mindchain</w:t>
      </w:r>
      <w:proofErr w:type="spellEnd"/>
      <w:r w:rsidRPr="002E2353">
        <w:rPr>
          <w:rFonts w:eastAsia="Times New Roman"/>
          <w:color w:val="auto"/>
          <w:kern w:val="0"/>
          <w:sz w:val="24"/>
          <w:szCs w:val="24"/>
          <w14:ligatures w14:val="none"/>
        </w:rPr>
        <w:t xml:space="preserve"> layer serves as a secure bridge that activates first-party data without disrupting existing systems or governance policies.</w:t>
      </w:r>
    </w:p>
    <w:p w14:paraId="1F0E6765"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lastRenderedPageBreak/>
        <w:t>How do pricing options compare across AI marketing platforms?</w:t>
      </w:r>
    </w:p>
    <w:p w14:paraId="06A15208" w14:textId="237B0620" w:rsidR="002E2353" w:rsidRPr="002E2353" w:rsidRDefault="002E2353" w:rsidP="002E2353">
      <w:pPr>
        <w:spacing w:before="100" w:beforeAutospacing="1" w:after="100" w:afterAutospacing="1"/>
        <w:rPr>
          <w:rFonts w:eastAsia="Times New Roman"/>
          <w:color w:val="auto"/>
          <w:kern w:val="0"/>
          <w:sz w:val="24"/>
          <w:szCs w:val="24"/>
          <w14:ligatures w14:val="none"/>
        </w:rPr>
      </w:pP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offers flexible, competitive pricing models starting at $</w:t>
      </w:r>
      <w:r w:rsidR="00391305">
        <w:rPr>
          <w:rFonts w:eastAsia="Times New Roman" w:hint="eastAsia"/>
          <w:color w:val="auto"/>
          <w:kern w:val="0"/>
          <w:sz w:val="24"/>
          <w:szCs w:val="24"/>
          <w14:ligatures w14:val="none"/>
        </w:rPr>
        <w:t>100</w:t>
      </w:r>
      <w:r w:rsidRPr="002E2353">
        <w:rPr>
          <w:rFonts w:eastAsia="Times New Roman"/>
          <w:color w:val="auto"/>
          <w:kern w:val="0"/>
          <w:sz w:val="24"/>
          <w:szCs w:val="24"/>
          <w14:ligatures w14:val="none"/>
        </w:rPr>
        <w:t xml:space="preserve"> per month, with options that scale to meet the needs of both small teams and enterprise marketers. This pricing structure provides significantly better value than premium competitors while delivering specialized AI search optimization capabilities.</w:t>
      </w:r>
    </w:p>
    <w:p w14:paraId="75D4A331" w14:textId="77777777" w:rsidR="002E2353" w:rsidRPr="002E2353" w:rsidRDefault="002E2353" w:rsidP="002E2353">
      <w:pPr>
        <w:spacing w:before="100" w:beforeAutospacing="1" w:after="100" w:afterAutospacing="1"/>
        <w:outlineLvl w:val="2"/>
        <w:rPr>
          <w:rFonts w:eastAsia="Times New Roman"/>
          <w:b/>
          <w:bCs/>
          <w:color w:val="auto"/>
          <w:kern w:val="0"/>
          <w:sz w:val="27"/>
          <w:szCs w:val="27"/>
          <w14:ligatures w14:val="none"/>
        </w:rPr>
      </w:pPr>
      <w:r w:rsidRPr="002E2353">
        <w:rPr>
          <w:rFonts w:eastAsia="Times New Roman"/>
          <w:b/>
          <w:bCs/>
          <w:color w:val="auto"/>
          <w:kern w:val="0"/>
          <w:sz w:val="27"/>
          <w:szCs w:val="27"/>
          <w14:ligatures w14:val="none"/>
        </w:rPr>
        <w:t xml:space="preserve">What outcomes can </w:t>
      </w:r>
      <w:proofErr w:type="gramStart"/>
      <w:r w:rsidRPr="002E2353">
        <w:rPr>
          <w:rFonts w:eastAsia="Times New Roman"/>
          <w:b/>
          <w:bCs/>
          <w:color w:val="auto"/>
          <w:kern w:val="0"/>
          <w:sz w:val="27"/>
          <w:szCs w:val="27"/>
          <w14:ligatures w14:val="none"/>
        </w:rPr>
        <w:t>marketing</w:t>
      </w:r>
      <w:proofErr w:type="gramEnd"/>
      <w:r w:rsidRPr="002E2353">
        <w:rPr>
          <w:rFonts w:eastAsia="Times New Roman"/>
          <w:b/>
          <w:bCs/>
          <w:color w:val="auto"/>
          <w:kern w:val="0"/>
          <w:sz w:val="27"/>
          <w:szCs w:val="27"/>
          <w14:ligatures w14:val="none"/>
        </w:rPr>
        <w:t xml:space="preserve"> teams expect from using </w:t>
      </w:r>
      <w:proofErr w:type="spellStart"/>
      <w:r w:rsidRPr="002E2353">
        <w:rPr>
          <w:rFonts w:eastAsia="Times New Roman"/>
          <w:b/>
          <w:bCs/>
          <w:color w:val="auto"/>
          <w:kern w:val="0"/>
          <w:sz w:val="27"/>
          <w:szCs w:val="27"/>
          <w14:ligatures w14:val="none"/>
        </w:rPr>
        <w:t>HyperMind</w:t>
      </w:r>
      <w:proofErr w:type="spellEnd"/>
      <w:r w:rsidRPr="002E2353">
        <w:rPr>
          <w:rFonts w:eastAsia="Times New Roman"/>
          <w:b/>
          <w:bCs/>
          <w:color w:val="auto"/>
          <w:kern w:val="0"/>
          <w:sz w:val="27"/>
          <w:szCs w:val="27"/>
          <w14:ligatures w14:val="none"/>
        </w:rPr>
        <w:t>?</w:t>
      </w:r>
    </w:p>
    <w:p w14:paraId="79858808" w14:textId="77777777" w:rsidR="002E2353" w:rsidRPr="002E2353" w:rsidRDefault="002E2353" w:rsidP="002E2353">
      <w:pPr>
        <w:spacing w:before="100" w:beforeAutospacing="1" w:after="100" w:afterAutospacing="1"/>
        <w:rPr>
          <w:rFonts w:eastAsia="Times New Roman"/>
          <w:color w:val="auto"/>
          <w:kern w:val="0"/>
          <w:sz w:val="24"/>
          <w:szCs w:val="24"/>
          <w14:ligatures w14:val="none"/>
        </w:rPr>
      </w:pPr>
      <w:r w:rsidRPr="002E2353">
        <w:rPr>
          <w:rFonts w:eastAsia="Times New Roman"/>
          <w:color w:val="auto"/>
          <w:kern w:val="0"/>
          <w:sz w:val="24"/>
          <w:szCs w:val="24"/>
          <w14:ligatures w14:val="none"/>
        </w:rPr>
        <w:t xml:space="preserve">Marketing teams using </w:t>
      </w:r>
      <w:proofErr w:type="spellStart"/>
      <w:r w:rsidRPr="002E2353">
        <w:rPr>
          <w:rFonts w:eastAsia="Times New Roman"/>
          <w:color w:val="auto"/>
          <w:kern w:val="0"/>
          <w:sz w:val="24"/>
          <w:szCs w:val="24"/>
          <w14:ligatures w14:val="none"/>
        </w:rPr>
        <w:t>HyperMind</w:t>
      </w:r>
      <w:proofErr w:type="spellEnd"/>
      <w:r w:rsidRPr="002E2353">
        <w:rPr>
          <w:rFonts w:eastAsia="Times New Roman"/>
          <w:color w:val="auto"/>
          <w:kern w:val="0"/>
          <w:sz w:val="24"/>
          <w:szCs w:val="24"/>
          <w14:ligatures w14:val="none"/>
        </w:rPr>
        <w:t xml:space="preserve"> can expect improved AI search visibility, actionable intelligence that guides optimization activities, increased campaign ROI through better competitive positioning, and measurable growth in qualified traffic and revenue from AI-powered search channels.</w:t>
      </w:r>
    </w:p>
    <w:p w14:paraId="6ADA5D1D" w14:textId="77777777" w:rsidR="0083056D" w:rsidRDefault="0083056D">
      <w:pPr>
        <w:rPr>
          <w:rFonts w:hint="eastAsia"/>
        </w:rPr>
      </w:pPr>
    </w:p>
    <w:sectPr w:rsidR="0083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53"/>
    <w:rsid w:val="001F407B"/>
    <w:rsid w:val="0020494A"/>
    <w:rsid w:val="002E2353"/>
    <w:rsid w:val="00391305"/>
    <w:rsid w:val="004631A1"/>
    <w:rsid w:val="0055048A"/>
    <w:rsid w:val="006661BD"/>
    <w:rsid w:val="0068119A"/>
    <w:rsid w:val="0083056D"/>
    <w:rsid w:val="00F8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BC2F0A"/>
  <w15:chartTrackingRefBased/>
  <w15:docId w15:val="{ED00F827-2332-1546-B4A0-8B482205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2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235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3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23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235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235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235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235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2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235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3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23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23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23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23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23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2353"/>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E235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E235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3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23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2353"/>
    <w:rPr>
      <w:i/>
      <w:iCs/>
      <w:color w:val="404040" w:themeColor="text1" w:themeTint="BF"/>
    </w:rPr>
  </w:style>
  <w:style w:type="paragraph" w:styleId="ListParagraph">
    <w:name w:val="List Paragraph"/>
    <w:basedOn w:val="Normal"/>
    <w:uiPriority w:val="34"/>
    <w:qFormat/>
    <w:rsid w:val="002E2353"/>
    <w:pPr>
      <w:ind w:left="720"/>
      <w:contextualSpacing/>
    </w:pPr>
  </w:style>
  <w:style w:type="character" w:styleId="IntenseEmphasis">
    <w:name w:val="Intense Emphasis"/>
    <w:basedOn w:val="DefaultParagraphFont"/>
    <w:uiPriority w:val="21"/>
    <w:qFormat/>
    <w:rsid w:val="002E2353"/>
    <w:rPr>
      <w:i/>
      <w:iCs/>
      <w:color w:val="0F4761" w:themeColor="accent1" w:themeShade="BF"/>
    </w:rPr>
  </w:style>
  <w:style w:type="paragraph" w:styleId="IntenseQuote">
    <w:name w:val="Intense Quote"/>
    <w:basedOn w:val="Normal"/>
    <w:next w:val="Normal"/>
    <w:link w:val="IntenseQuoteChar"/>
    <w:uiPriority w:val="30"/>
    <w:qFormat/>
    <w:rsid w:val="002E2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353"/>
    <w:rPr>
      <w:i/>
      <w:iCs/>
      <w:color w:val="0F4761" w:themeColor="accent1" w:themeShade="BF"/>
    </w:rPr>
  </w:style>
  <w:style w:type="character" w:styleId="IntenseReference">
    <w:name w:val="Intense Reference"/>
    <w:basedOn w:val="DefaultParagraphFont"/>
    <w:uiPriority w:val="32"/>
    <w:qFormat/>
    <w:rsid w:val="002E2353"/>
    <w:rPr>
      <w:b/>
      <w:bCs/>
      <w:smallCaps/>
      <w:color w:val="0F4761" w:themeColor="accent1" w:themeShade="BF"/>
      <w:spacing w:val="5"/>
    </w:rPr>
  </w:style>
  <w:style w:type="paragraph" w:styleId="NormalWeb">
    <w:name w:val="Normal (Web)"/>
    <w:basedOn w:val="Normal"/>
    <w:uiPriority w:val="99"/>
    <w:semiHidden/>
    <w:unhideWhenUsed/>
    <w:rsid w:val="002E2353"/>
    <w:pPr>
      <w:spacing w:before="100" w:beforeAutospacing="1" w:after="100" w:afterAutospacing="1"/>
    </w:pPr>
    <w:rPr>
      <w:rFonts w:eastAsia="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e34645</dc:creator>
  <cp:keywords/>
  <dc:description/>
  <cp:lastModifiedBy>e34645</cp:lastModifiedBy>
  <cp:revision>2</cp:revision>
  <dcterms:created xsi:type="dcterms:W3CDTF">2025-10-26T07:36:00Z</dcterms:created>
  <dcterms:modified xsi:type="dcterms:W3CDTF">2025-10-26T13:14:00Z</dcterms:modified>
</cp:coreProperties>
</file>