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i w:val="false"/>
          <w:iCs w:val="false"/>
          <w:color w:val="1F3864"/>
          <w:sz w:val="26"/>
          <w:szCs w:val="26"/>
        </w:rPr>
        <w:t xml:space="preserve">MEADOW MOUNTAIN PROPERTY OWNERS ASSOCIATION NO. II-A, INC.</w:t>
      </w:r>
    </w:p>
    <w:p>
      <w:pPr>
        <w:spacing w:after="0" w:before="60"/>
        <w:jc w:val="center"/>
      </w:pPr>
      <w:r>
        <w:rPr>
          <w:rFonts w:ascii="Arial" w:cs="Arial" w:eastAsia="Arial" w:hAnsi="Arial"/>
          <w:b w:val="false"/>
          <w:bCs w:val="false"/>
          <w:i w:val="false"/>
          <w:iCs w:val="false"/>
          <w:color w:val="555555"/>
          <w:sz w:val="20"/>
          <w:szCs w:val="20"/>
        </w:rPr>
        <w:t xml:space="preserve">Travis County, Texas</w:t>
      </w:r>
    </w:p>
    <w:p>
      <w:pPr>
        <w:spacing w:after="300" w:before="0"/>
      </w:pPr>
      <w:r>
        <w:rPr>
          <w:rFonts w:ascii="Times New Roman" w:cs="Times New Roman" w:eastAsia="Times New Roman" w:hAnsi="Times New Roman"/>
          <w:b w:val="false"/>
          <w:bCs w:val="false"/>
          <w:i w:val="false"/>
          <w:iCs w:val="false"/>
          <w:caps w:val="false"/>
          <w:color w:val="333333"/>
          <w:sz w:val="20"/>
          <w:szCs w:val="20"/>
        </w:rPr>
        <w:t xml:space="preserve"/>
      </w:r>
    </w:p>
    <w:p>
      <w:pPr>
        <w:spacing w:after="0" w:before="0"/>
        <w:jc w:val="center"/>
      </w:pPr>
      <w:r>
        <w:rPr>
          <w:rFonts w:ascii="Arial" w:cs="Arial" w:eastAsia="Arial" w:hAnsi="Arial"/>
          <w:b/>
          <w:bCs/>
          <w:i w:val="false"/>
          <w:iCs w:val="false"/>
          <w:color w:val="1F3864"/>
          <w:sz w:val="48"/>
          <w:szCs w:val="48"/>
        </w:rPr>
        <w:t xml:space="preserve">BYLAWS</w:t>
      </w:r>
    </w:p>
    <w:p>
      <w:pPr>
        <w:spacing w:after="100" w:before="0"/>
      </w:pPr>
      <w:r>
        <w:rPr>
          <w:rFonts w:ascii="Times New Roman" w:cs="Times New Roman" w:eastAsia="Times New Roman" w:hAnsi="Times New Roman"/>
          <w:b w:val="false"/>
          <w:bCs w:val="false"/>
          <w:i w:val="false"/>
          <w:iCs w:val="false"/>
          <w:caps w:val="false"/>
          <w:color w:val="333333"/>
          <w:sz w:val="20"/>
          <w:szCs w:val="20"/>
        </w:rPr>
        <w:t xml:space="preserve"/>
      </w:r>
    </w:p>
    <w:p>
      <w:pPr>
        <w:spacing w:after="0" w:before="0"/>
        <w:jc w:val="center"/>
      </w:pPr>
      <w:r>
        <w:rPr>
          <w:rFonts w:ascii="Arial" w:cs="Arial" w:eastAsia="Arial" w:hAnsi="Arial"/>
          <w:b w:val="false"/>
          <w:bCs w:val="false"/>
          <w:i/>
          <w:iCs/>
          <w:color w:val="2E5F8A"/>
          <w:sz w:val="22"/>
          <w:szCs w:val="22"/>
        </w:rPr>
        <w:t xml:space="preserve">As Adopted in Conjunction with the Amended and Restated Declaration</w:t>
      </w:r>
    </w:p>
    <w:p>
      <w:pPr>
        <w:spacing w:after="0" w:before="40"/>
        <w:jc w:val="center"/>
      </w:pPr>
      <w:r>
        <w:rPr>
          <w:rFonts w:ascii="Arial" w:cs="Arial" w:eastAsia="Arial" w:hAnsi="Arial"/>
          <w:b w:val="false"/>
          <w:bCs w:val="false"/>
          <w:i/>
          <w:iCs/>
          <w:color w:val="2E5F8A"/>
          <w:sz w:val="22"/>
          <w:szCs w:val="22"/>
        </w:rPr>
        <w:t xml:space="preserve">of Covenants, Conditions and Restrictions (Version 9)</w:t>
      </w:r>
    </w:p>
    <w:p>
      <w:pPr>
        <w:spacing w:after="200" w:before="0"/>
      </w:pPr>
      <w:r>
        <w:rPr>
          <w:rFonts w:ascii="Times New Roman" w:cs="Times New Roman" w:eastAsia="Times New Roman" w:hAnsi="Times New Roman"/>
          <w:b w:val="false"/>
          <w:bCs w:val="false"/>
          <w:i w:val="false"/>
          <w:iCs w:val="false"/>
          <w:caps w:val="false"/>
          <w:color w:val="333333"/>
          <w:sz w:val="20"/>
          <w:szCs w:val="20"/>
        </w:rPr>
        <w:t xml:space="preserve"/>
      </w:r>
    </w:p>
    <w:p>
      <w:pPr>
        <w:spacing w:after="0" w:before="0"/>
        <w:jc w:val="center"/>
      </w:pPr>
      <w:r>
        <w:rPr>
          <w:rFonts w:ascii="Arial" w:cs="Arial" w:eastAsia="Arial" w:hAnsi="Arial"/>
          <w:b w:val="false"/>
          <w:bCs w:val="false"/>
          <w:i/>
          <w:iCs/>
          <w:color w:val="555555"/>
          <w:sz w:val="20"/>
          <w:szCs w:val="20"/>
        </w:rPr>
        <w:t xml:space="preserve">April 2026</w:t>
      </w:r>
    </w:p>
    <w:p>
      <w:pPr>
        <w:pBdr>
          <w:bottom w:val="single" w:color="2E5F8A" w:sz="4" w:space="1"/>
        </w:pBdr>
        <w:spacing w:after="200" w:before="200"/>
      </w:pPr>
      <w:r>
        <w:rPr>
          <w:rFonts w:ascii="Times New Roman" w:cs="Times New Roman" w:eastAsia="Times New Roman" w:hAnsi="Times New Roman"/>
          <w:b w:val="false"/>
          <w:bCs w:val="false"/>
          <w:i w:val="false"/>
          <w:iCs w:val="false"/>
          <w:caps w:val="false"/>
          <w:color w:val="333333"/>
          <w:sz w:val="20"/>
          <w:szCs w:val="20"/>
        </w:rPr>
        <w:t xml:space="preserve"/>
      </w:r>
    </w:p>
    <w:p>
      <w:pPr>
        <w:spacing w:after="160" w:before="0"/>
        <w:ind/>
      </w:pPr>
      <w:r>
        <w:rPr>
          <w:rFonts w:ascii="Times New Roman" w:cs="Times New Roman" w:eastAsia="Times New Roman" w:hAnsi="Times New Roman"/>
          <w:b w:val="false"/>
          <w:bCs w:val="false"/>
          <w:i w:val="false"/>
          <w:iCs w:val="false"/>
          <w:caps w:val="false"/>
          <w:color w:val="555555"/>
          <w:sz w:val="20"/>
          <w:szCs w:val="20"/>
        </w:rPr>
        <w:t xml:space="preserve">These Bylaws govern the internal organization and administration of Meadow Mountain Property Owners Association No. II-A, Inc. (the "Association"), a Texas nonprofit corporation. They are adopted in conjunction with the Amended and Restated Declaration of Covenants, Conditions and Restrictions of Meadow Mountain Property Owners Association No. II-A (the "Declaration") and are expressly incorporated into the Declaration by reference. In the event of any conflict between these Bylaws and the Declaration, the Declaration controls. In the event of any conflict between these Bylaws and applicable Texas law, including the Texas Business Organizations Code and the Texas Property Code, applicable law controls.</w:t>
      </w:r>
    </w:p>
    <w:p>
      <w:pPr>
        <w:pStyle w:val="Heading1"/>
        <w:spacing w:after="180" w:before="520"/>
        <w:jc w:val="center"/>
      </w:pPr>
      <w:r>
        <w:rPr>
          <w:rFonts w:ascii="Arial" w:cs="Arial" w:eastAsia="Arial" w:hAnsi="Arial"/>
          <w:b/>
          <w:bCs/>
          <w:i w:val="false"/>
          <w:iCs w:val="false"/>
          <w:color w:val="1F3864"/>
          <w:sz w:val="26"/>
          <w:szCs w:val="26"/>
        </w:rPr>
        <w:t xml:space="preserve">ARTICLE I</w:t>
      </w:r>
      <w:r>
        <w:rPr>
          <w:rFonts w:ascii="Arial" w:cs="Arial" w:eastAsia="Arial" w:hAnsi="Arial"/>
          <w:b/>
          <w:bCs/>
          <w:i w:val="false"/>
          <w:iCs w:val="false"/>
          <w:color w:val="1F3864"/>
          <w:sz w:val="22"/>
          <w:szCs w:val="22"/>
        </w:rPr>
        <w:t xml:space="preserve">
NAME, REGISTERED OFFICE, AND PURPOSE</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Name.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name of this organization is Meadow Mountain Property Owners Association No. II-A, Inc., a Texas nonprofit corporation (the "Association").</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Registered Office and Agent.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Association's registered office and registered agent shall be as stated in the Association's Certificate of Formation filed with the Texas Secretary of State and as updated from time to time in accordance with the Texas Business Organizations Code. The Board of Directors may change the registered office and registered agent by resolution and by filing the required notice with the Texas Secretary of State.</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Principal Office.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Association's principal office is located within the Properties, as defined in the Declaration. The Board of Directors may change the location of the principal office by resolution, provided that the principal office remains within Travis County, Texas.</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Purpose.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is organized exclusively for the benefit of its members to: (a) administer, manage, maintain, and enforce the covenants, conditions, and restrictions set forth in the Declaration; (b) own, manage, and maintain the Common Area within the Properties for the common use and benefit of all Owners; (c) collect and disburse assessments levied under the Declaration for common maintenance and operations; (d) promote the health, safety, welfare, and quality of life of residents within the Properties; and (e) perform all other functions of a property owners' association under applicable Texas law, including the Texas Property Code.</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Governing Documents.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is governed by the following documents, in order of precedence in the event of conflict: (1) applicable federal and Texas law; (2) the Declaration, as amended from time to time; (3) these Bylaws, as amended from time to time; (4) the Rules of Conduct adopted under Article VIII of these Bylaws; and (5) any design guidelines, fine schedules, and policies adopted by the Board. All members and residents are bound by these documents and are deemed to have notice of them.</w:t>
      </w:r>
    </w:p>
    <w:p>
      <w:pPr>
        <w:pStyle w:val="Heading1"/>
        <w:pageBreakBefore/>
        <w:spacing w:after="180" w:before="520"/>
        <w:jc w:val="center"/>
      </w:pPr>
      <w:r>
        <w:rPr>
          <w:rFonts w:ascii="Arial" w:cs="Arial" w:eastAsia="Arial" w:hAnsi="Arial"/>
          <w:b/>
          <w:bCs/>
          <w:i w:val="false"/>
          <w:iCs w:val="false"/>
          <w:color w:val="1F3864"/>
          <w:sz w:val="26"/>
          <w:szCs w:val="26"/>
        </w:rPr>
        <w:t xml:space="preserve">ARTICLE II</w:t>
      </w:r>
      <w:r>
        <w:rPr>
          <w:rFonts w:ascii="Arial" w:cs="Arial" w:eastAsia="Arial" w:hAnsi="Arial"/>
          <w:b/>
          <w:bCs/>
          <w:i w:val="false"/>
          <w:iCs w:val="false"/>
          <w:color w:val="1F3864"/>
          <w:sz w:val="22"/>
          <w:szCs w:val="22"/>
        </w:rPr>
        <w:t xml:space="preserve">
DEFINITIONS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Defined Terms.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capitalized terms used in these Bylaws and not otherwise defined herein shall have the meanings ascribed to them in Article I of the Declaration, including but not limited to: Association, Owner, Properties, Common Area, Lot, Member, Board of Directors, Bylaws, Architecture Review Committee, Declaration, Improvement, Alteration, Annual Assessment, Special Assessment, Canyonside Trail, MMPOA I, Conservation Easement Lot 11, Common Property, Tenant, Manager, Firewise Committee, Fine Schedule, and Plat.</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Additional Definitions.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As used in these Bylaws, the following additional terms have the meanings set forth below:</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"Fiscal Year" means the twelve-month period commencing on January 1 and ending on December 31 of each calendar year, or such other period as the Board may establish by resolution with at least thirty (30) days' prior written notice to all Members.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"Majority Vote" means the affirmative vote of a majority (more than fifty percent) of the votes cast by Members entitled to vote who are present in person, by proxy, or by electronic means at a meeting at which a quorum is present.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"Two-Thirds Vote" means the affirmative vote of at least two-thirds (67%) of the votes cast by Members entitled to vote who are present in person, by proxy, or by electronic means at a meeting at which a quorum is present, or as otherwise specified in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"Quorum" means, for a membership meeting, Members or proxies entitled to cast at least twenty-five percent (25%) of all votes of the entire membership; and for a Board meeting, a majority of the then-seated Directors.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"Notice" means written communication delivered by first-class mail, certified mail, or electronic mail as provided in Article XIII of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"Governing Documents" means the Declaration, these Bylaws, the Rules of Conduct, design guidelines, the Fine Schedule, and any other policies adopted by the Board of Directors.</w:t>
      </w:r>
    </w:p>
    <w:p>
      <w:pPr>
        <w:pStyle w:val="Heading1"/>
        <w:pageBreakBefore/>
        <w:spacing w:after="180" w:before="520"/>
        <w:jc w:val="center"/>
      </w:pPr>
      <w:r>
        <w:rPr>
          <w:rFonts w:ascii="Arial" w:cs="Arial" w:eastAsia="Arial" w:hAnsi="Arial"/>
          <w:b/>
          <w:bCs/>
          <w:i w:val="false"/>
          <w:iCs w:val="false"/>
          <w:color w:val="1F3864"/>
          <w:sz w:val="26"/>
          <w:szCs w:val="26"/>
        </w:rPr>
        <w:t xml:space="preserve">ARTICLE III</w:t>
      </w:r>
      <w:r>
        <w:rPr>
          <w:rFonts w:ascii="Arial" w:cs="Arial" w:eastAsia="Arial" w:hAnsi="Arial"/>
          <w:b/>
          <w:bCs/>
          <w:i w:val="false"/>
          <w:iCs w:val="false"/>
          <w:color w:val="1F3864"/>
          <w:sz w:val="22"/>
          <w:szCs w:val="22"/>
        </w:rPr>
        <w:t xml:space="preserve">
MEMBERSHIP</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Qualification for Membership.</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Every Owner of a Lot within the Properties shall automatically become and remain a Member of the Association for as long as such ownership continues. Membership is mandatory, inseparable from ownership of any Lot subject to assessment under the Declaration, and transfers automatically upon conveyance of the Lot. No separate act is required to become a Member. The Association is not a Member of the Association for Lots it holds in its capacity as the Association.</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Single Class of Membership.</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has a single class of voting membership. Every Owner is entitled to one (1) vote for each Lot owned. When a Lot is owned by more than one person or entity, all co-Owners collectively share the single vote for that Lot and must designate, in writing to the Secretary, a single representative to cast that vote. Co-Owners who fail to designate a representative or who cannot agree on how to vote may, in the Board's reasonable discretion, be deemed to have abstained on any matter put to a vote.</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Transfer of Membership.</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Membership in the Association is appurtenant to and inseparable from ownership of a Lot. Membership rights and obligations transfer automatically upon any conveyance of a Lot by deed, foreclosure, court order, or other lawful means. No separate assignment of membership is required or permitted. A transferring Owner remains responsible for all assessment obligations and violations that arose before the transfer date.</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Suspension of Membership Rights.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suspend the voting rights and privileges of any Member who is delinquent in the payment of any assessment or other financial obligation to the Association for a period of more than thirty (30) days, subject to the notice and hearing requirements of Texas Property Code § 209.006 and § 209.007. Suspension of voting rights does not relieve a Member of any obligation to the Association. Suspended rights are automatically reinstated upon full payment of all delinquent amounts.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Suspension of voting rights or privileges must be preceded by written notice to the Member as required by Texas Property Code § 209.006.</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The Member has the right to request a hearing before the Board within thirty (30) days of such notice in accordance with § 209.007.</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The Board may not suspend a Member's right to vote in a board election on the basis of delinquency alone without complying with the foregoing procedures.</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Roster of Members.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shall maintain a current roster of all Owners of record and their mailing and email addresses. Each Member is responsible for notifying the Association of any change in address within thirty (30) days of such change. The Board shall update the roster whenever it receives notice of a change in ownership or address. The roster is an Association record subject to owner inspection rights under Texas Property Code § 209.005 and Article XI of these Bylaws, subject to the privacy limitations of that statute.</w:t>
      </w:r>
    </w:p>
    <w:p>
      <w:pPr>
        <w:pStyle w:val="Heading1"/>
        <w:pageBreakBefore/>
        <w:spacing w:after="180" w:before="520"/>
        <w:jc w:val="center"/>
      </w:pPr>
      <w:r>
        <w:rPr>
          <w:rFonts w:ascii="Arial" w:cs="Arial" w:eastAsia="Arial" w:hAnsi="Arial"/>
          <w:b/>
          <w:bCs/>
          <w:i w:val="false"/>
          <w:iCs w:val="false"/>
          <w:color w:val="1F3864"/>
          <w:sz w:val="26"/>
          <w:szCs w:val="26"/>
        </w:rPr>
        <w:t xml:space="preserve">ARTICLE IV</w:t>
      </w:r>
      <w:r>
        <w:rPr>
          <w:rFonts w:ascii="Arial" w:cs="Arial" w:eastAsia="Arial" w:hAnsi="Arial"/>
          <w:b/>
          <w:bCs/>
          <w:i w:val="false"/>
          <w:iCs w:val="false"/>
          <w:color w:val="1F3864"/>
          <w:sz w:val="22"/>
          <w:szCs w:val="22"/>
        </w:rPr>
        <w:t xml:space="preserve">
MEETINGS OF MEMBERS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Annual Meeting.</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shall hold an Annual Meeting of Members during the first quarter of each calendar year, on a date and at a time and place designated by the Board. The Board shall provide written notice of the Annual Meeting to all Members not less than ten (10) days nor more than sixty (60) days before the meeting date. The notice shall state the date, time, location (physical and, if applicable, electronic access information), and the agenda for the meeting.</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At the Annual Meeting, the Board shall present: (a) a report on the activities of the Association during the preceding year; (b) the audited or reviewed financial statements for the preceding Fiscal Year; (c) the current year's adopted budget and assessment amounts; and (d) any other matters the Board or the Members place on the agenda in accordance with these Bylaws.</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Special Meetings.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Special Meetings of Members may be called at any time by: (a) the President; (b) a majority of the Board of Directors; or (c) petition signed by Members holding not less than twenty-five percent (25%) of the total votes entitled to be cast. A petition for a special meeting must describe the specific purpose(s) for which the meeting is called and must be delivered to the Secretary. The Board shall call the special meeting within thirty (30) days of receiving a valid petition and shall hold it within sixty (60) days.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Special Meetings may be held only for the purpose(s) stated in the notice. No business other than that stated in the notice may be transacted at a special meeting.</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Notice of Meetings.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Written notice of every membership meeting shall be given to each Member not less than ten (10) days nor more than sixty (60) days before the meeting date. The notice shall state: the date, time, and location; the agenda or purpose of the meeting; whether remote attendance is available and how to participate; and any matters requiring Member approval or vote. Notice shall be given by first-class mail or, for Members who have provided an email address, by electronic mail, as provided in Article XIII of the Declaration.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Failure to give notice to any Member does not invalidate the meeting or any action taken at the meeting, provided that a quorum is present and the failure was not intentional.</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Quorum.</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At any membership meeting, Members or proxies entitled to cast twenty-five percent (25%) of the total votes of the entire membership constitute a quorum for the transaction of business, except as otherwise required by the Declaration or these Bylaws for specific actions. If a quorum is not present, the meeting may be adjourned to a later date. At an adjourned meeting, Members or proxies entitled to cast twenty percent (20%) of the total votes constitute a quorum, provided that at least ten (10) days' notice of the adjourned meeting is given.</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Voting.</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Each Member is entitled to one (1) vote for each Lot owned. Votes may be cast in person, by proxy, by written ballot, or by electronic means as provided in these Bylaws and applicable Texas law. Except as otherwise required by the Declaration, these Bylaws, or applicable Texas law, all membership votes shall be decided by a Majority Vote. The following actions require a Two-Thirds Vote (67% of members voting at a meeting with quorum present) or a higher threshold as stated in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Any increase in the Annual Assessment exceeding five percent (5%) above the prior year's maximum (Declaration Art. IV §3).</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Any Special Assessment for capital improvements exceeding $500 per Lot (Declaration Art. IV §4).</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Dedication or transfer of any portion of the Common Area (Declaration Art. II §1(a)).</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Approval of a management company engagement (Declaration Art. III §5).</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Amendment of these Bylaws on substantive matters as provided in Article VI.</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Approval of a deviation from the Declaration under Declaration Article X.</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Proxies.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Member may vote by proxy. A proxy must be in writing, signed by the Member, and submitted to the Secretary before or at the time of the meeting for which it is to be used. A proxy is valid for the meeting for which it is issued and any adjournment thereof, but not for more than eleven (11) months after the date it is signed, unless the proxy specifically states a longer period. A proxy may be revoked by written notice to the Secretary, by a later-dated proxy, or by the Member's personal attendance at the meeting. The Board shall adopt procedures for collecting and verifying proxies consistent with Texas Property Code § 209.00593.</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Written Ballot.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submit any matter subject to a membership vote to a written ballot in lieu of a meeting, except matters that Texas law requires to be voted upon at a meeting. Written ballots shall be distributed to all Members entitled to vote, shall describe the matter to be voted upon with sufficient detail for an informed decision, and shall specify a voting period of not less than ten (10) days and not more than sixty (60) days. Written ballot procedures shall comply with Texas Property Code § 209.0051 and § 209.00593 and shall preserve the integrity and anonymity of each ballot.</w:t>
      </w:r>
    </w:p>
    <w:p>
      <w:pPr>
        <w:pStyle w:val="Heading2"/>
        <w:spacing w:after="120" w:before="300"/>
      </w:pPr>
      <w:r>
        <w:rPr>
          <w:rFonts w:ascii="Arial" w:cs="Arial" w:eastAsia="Arial" w:hAnsi="Arial"/>
          <w:b/>
          <w:bCs/>
          <w:i w:val="false"/>
          <w:iCs w:val="false"/>
          <w:color w:val="2E5F8A"/>
          <w:sz w:val="22"/>
          <w:szCs w:val="22"/>
        </w:rPr>
        <w:t xml:space="preserve">Section 8.  </w:t>
      </w:r>
      <w:r>
        <w:rPr>
          <w:rFonts w:ascii="Arial" w:cs="Arial" w:eastAsia="Arial" w:hAnsi="Arial"/>
          <w:b/>
          <w:bCs/>
          <w:i w:val="false"/>
          <w:iCs w:val="false"/>
          <w:color w:val="333333"/>
          <w:sz w:val="22"/>
          <w:szCs w:val="22"/>
        </w:rPr>
        <w:t xml:space="preserve">Electronic Meetings and Voting.</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Membership meetings may be conducted by telephone conference, video conference, or other electronic means that allow all participating Members to simultaneously hear and communicate with each other, consistent with Article III, Section 6 of the Declaration and Texas Property Code § 209.0051. Electronic participation counts toward quorum and the vote. The Board shall establish and publish written procedures for electronic participation at least thirty (30) days before any meeting at which electronic attendance is offered. Authentication of electronic ballots shall verify each ballot is cast by an eligible Member while preserving anonymity.</w:t>
      </w:r>
    </w:p>
    <w:p>
      <w:pPr>
        <w:pStyle w:val="Heading2"/>
        <w:spacing w:after="120" w:before="300"/>
      </w:pPr>
      <w:r>
        <w:rPr>
          <w:rFonts w:ascii="Arial" w:cs="Arial" w:eastAsia="Arial" w:hAnsi="Arial"/>
          <w:b/>
          <w:bCs/>
          <w:i w:val="false"/>
          <w:iCs w:val="false"/>
          <w:color w:val="2E5F8A"/>
          <w:sz w:val="22"/>
          <w:szCs w:val="22"/>
        </w:rPr>
        <w:t xml:space="preserve">Section 9.  </w:t>
      </w:r>
      <w:r>
        <w:rPr>
          <w:rFonts w:ascii="Arial" w:cs="Arial" w:eastAsia="Arial" w:hAnsi="Arial"/>
          <w:b/>
          <w:bCs/>
          <w:i w:val="false"/>
          <w:iCs w:val="false"/>
          <w:color w:val="333333"/>
          <w:sz w:val="22"/>
          <w:szCs w:val="22"/>
        </w:rPr>
        <w:t xml:space="preserve">Order of Business.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order of business at the Annual Meeting shall be: (1) Call to order and verification of quorum; (2) Election of a meeting chairperson (if other than the President); (3) Proof of notice or waiver of notice; (4) Election of directors (if scheduled); (5) Annual reports from the Board and officers; (6) Financial report; (7) Unfinished business; (8) New business; (9) Owner open forum; (10) Adjournment. The Board may vary this order as circumstances require.</w:t>
      </w:r>
    </w:p>
    <w:p>
      <w:pPr>
        <w:pStyle w:val="Heading2"/>
        <w:spacing w:after="120" w:before="300"/>
      </w:pPr>
      <w:r>
        <w:rPr>
          <w:rFonts w:ascii="Arial" w:cs="Arial" w:eastAsia="Arial" w:hAnsi="Arial"/>
          <w:b/>
          <w:bCs/>
          <w:i w:val="false"/>
          <w:iCs w:val="false"/>
          <w:color w:val="2E5F8A"/>
          <w:sz w:val="22"/>
          <w:szCs w:val="22"/>
        </w:rPr>
        <w:t xml:space="preserve">Section 10.  </w:t>
      </w:r>
      <w:r>
        <w:rPr>
          <w:rFonts w:ascii="Arial" w:cs="Arial" w:eastAsia="Arial" w:hAnsi="Arial"/>
          <w:b/>
          <w:bCs/>
          <w:i w:val="false"/>
          <w:iCs w:val="false"/>
          <w:color w:val="333333"/>
          <w:sz w:val="22"/>
          <w:szCs w:val="22"/>
        </w:rPr>
        <w:t xml:space="preserve">Parliamentary Authority.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Meetings of Members and meetings of the Board shall be governed by these Bylaws. For questions not addressed by these Bylaws or the Declaration, Robert's Rules of Order, Newly Revised, shall serve as a general guide for meeting procedure, except that strict compliance shall not be required and deviation shall not invalidate any action taken.</w:t>
      </w:r>
    </w:p>
    <w:p>
      <w:pPr>
        <w:pStyle w:val="Heading1"/>
        <w:pageBreakBefore/>
        <w:spacing w:after="180" w:before="520"/>
        <w:jc w:val="center"/>
      </w:pPr>
      <w:r>
        <w:rPr>
          <w:rFonts w:ascii="Arial" w:cs="Arial" w:eastAsia="Arial" w:hAnsi="Arial"/>
          <w:b/>
          <w:bCs/>
          <w:i w:val="false"/>
          <w:iCs w:val="false"/>
          <w:color w:val="1F3864"/>
          <w:sz w:val="26"/>
          <w:szCs w:val="26"/>
        </w:rPr>
        <w:t xml:space="preserve">ARTICLE V</w:t>
      </w:r>
      <w:r>
        <w:rPr>
          <w:rFonts w:ascii="Arial" w:cs="Arial" w:eastAsia="Arial" w:hAnsi="Arial"/>
          <w:b/>
          <w:bCs/>
          <w:i w:val="false"/>
          <w:iCs w:val="false"/>
          <w:color w:val="1F3864"/>
          <w:sz w:val="22"/>
          <w:szCs w:val="22"/>
        </w:rPr>
        <w:t xml:space="preserve">
BOARD OF DIRECTORS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Number and Qualification.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of Directors shall consist of not fewer than three (3) and not more than seven (7) Directors, as determined from time to time by the Board by resolution, with not more than one Director per Lot. Each Director must be an Owner of a Lot within the Properties (or a designated representative of an entity that is an Owner) and must be in good standing — meaning not delinquent on any assessment obligation — at the time of election and throughout the term of service. Spouses and co-owners of the same Lot may not both serve as Directors simultaneously.</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Election and Terms.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Directors shall be elected at the Annual Meeting by secret ballot as required by Texas Property Code § 209.00592. Each Director shall serve a term of two (2) years, staggered so that approximately half of the Board seats are up for election each year. Terms commence upon election at the Annual Meeting and continue until the Director's successor is elected and qualified or until the Director resigns, is removed, or ceases to qualify.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In the event of a tie vote, the Board shall resolve the tie by drawing lots. No Director may serve more than three (3) consecutive full two-year terms, after which that Director shall be ineligible for re-election for one (1) year.</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Nomination Procedures.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Member in good standing may nominate a qualified candidate for election to the Board, including themselves. Nominations may be made: (a) by a Nominating Committee appointed by the Board at least sixty (60) days before the Annual Meeting; or (b) from the floor at the Annual Meeting before the election. Written nominations submitted to the Secretary at least fourteen (14) days before the Annual Meeting shall be included in the meeting notice. The Board shall adopt a written nomination and election policy consistent with Texas Property Code § 209.00592.</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Vacancies.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Vacancies on the Board arising from death, resignation, removal, disqualification, or the creation of a new Director position may be filled by a majority vote of the remaining Directors, even if fewer than a quorum remain. A Director appointed to fill a vacancy shall serve until the next Annual Meeting at which that position would be subject to election, at which time the Members shall elect a Director to fill any remaining portion of the term.</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Removal of Directors.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Director may be removed, with or without cause, by a vote of two-thirds (67%) of the Members voting at a meeting called for that purpose at which a quorum is present. The notice of the meeting must state that removal of a Director is a purpose of the meeting. A Director may also be removed by the Board itself for: (a) failure to attend three (3) or more consecutive regularly scheduled Board meetings without being excused by a majority of the remaining Directors; (b) ceasing to qualify as a Director; or (c) conviction of a felony. Board removal of a Director requires a majority vote of the remaining Directors at a duly noticed meeting, with at least ten (10) days' written notice to the Director proposed for removal.</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Compensation.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Directors shall not receive compensation for their services as Directors. The Board may, however, authorize reimbursement of Directors for reasonable out-of-pocket expenses incurred on behalf of the Association, including travel expenses for attending training seminars or industry conferences, subject to prior Board approval and submission of receipts.</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Regular Board Meetings.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hold regular meetings not less than quarterly during each calendar year. The Board shall establish an annual schedule of regular meeting dates, times, and locations at the beginning of each year and provide notice of the schedule to all Members as required by Texas Property Code § 209.0051. Regular meetings may be held in person, by electronic means, or by a combination of both.</w:t>
      </w:r>
    </w:p>
    <w:p>
      <w:pPr>
        <w:pStyle w:val="Heading2"/>
        <w:spacing w:after="120" w:before="300"/>
      </w:pPr>
      <w:r>
        <w:rPr>
          <w:rFonts w:ascii="Arial" w:cs="Arial" w:eastAsia="Arial" w:hAnsi="Arial"/>
          <w:b/>
          <w:bCs/>
          <w:i w:val="false"/>
          <w:iCs w:val="false"/>
          <w:color w:val="2E5F8A"/>
          <w:sz w:val="22"/>
          <w:szCs w:val="22"/>
        </w:rPr>
        <w:t xml:space="preserve">Section 8.  </w:t>
      </w:r>
      <w:r>
        <w:rPr>
          <w:rFonts w:ascii="Arial" w:cs="Arial" w:eastAsia="Arial" w:hAnsi="Arial"/>
          <w:b/>
          <w:bCs/>
          <w:i w:val="false"/>
          <w:iCs w:val="false"/>
          <w:color w:val="333333"/>
          <w:sz w:val="22"/>
          <w:szCs w:val="22"/>
        </w:rPr>
        <w:t xml:space="preserve">Special Board Meetings.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Special meetings of the Board may be called by the President or by any two (2) Directors upon not less than seventy-two (72) hours' advance notice to all Directors and all Members. The notice shall state the time, place (or electronic access information), and the specific purpose(s) of the meeting. No business other than that stated in the notice may be conducted at a special meeting.</w:t>
      </w:r>
    </w:p>
    <w:p>
      <w:pPr>
        <w:pStyle w:val="Heading2"/>
        <w:spacing w:after="120" w:before="300"/>
      </w:pPr>
      <w:r>
        <w:rPr>
          <w:rFonts w:ascii="Arial" w:cs="Arial" w:eastAsia="Arial" w:hAnsi="Arial"/>
          <w:b/>
          <w:bCs/>
          <w:i w:val="false"/>
          <w:iCs w:val="false"/>
          <w:color w:val="2E5F8A"/>
          <w:sz w:val="22"/>
          <w:szCs w:val="22"/>
        </w:rPr>
        <w:t xml:space="preserve">Section 9.  </w:t>
      </w:r>
      <w:r>
        <w:rPr>
          <w:rFonts w:ascii="Arial" w:cs="Arial" w:eastAsia="Arial" w:hAnsi="Arial"/>
          <w:b/>
          <w:bCs/>
          <w:i w:val="false"/>
          <w:iCs w:val="false"/>
          <w:color w:val="333333"/>
          <w:sz w:val="22"/>
          <w:szCs w:val="22"/>
        </w:rPr>
        <w:t xml:space="preserve">Open Meeting Requirements.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meetings of the Board, including special meetings, shall be open to attendance by all Members as required by Texas Property Code § 209.0051. The Board shall provide Members with at least seventy-two (72) hours' advance notice of every Board meeting, including the date, time, location, and agenda, by posting on the Association's website or by such other means as the Board establishes by written policy. Before the Board votes on any item on the agenda, Members present shall have a reasonable opportunity to speak on that item. The Board may establish reasonable time limits for owner comments.</w:t>
      </w:r>
    </w:p>
    <w:p>
      <w:pPr>
        <w:pStyle w:val="Heading2"/>
        <w:spacing w:after="120" w:before="300"/>
      </w:pPr>
      <w:r>
        <w:rPr>
          <w:rFonts w:ascii="Arial" w:cs="Arial" w:eastAsia="Arial" w:hAnsi="Arial"/>
          <w:b/>
          <w:bCs/>
          <w:i w:val="false"/>
          <w:iCs w:val="false"/>
          <w:color w:val="2E5F8A"/>
          <w:sz w:val="22"/>
          <w:szCs w:val="22"/>
        </w:rPr>
        <w:t xml:space="preserve">Section 10.  </w:t>
      </w:r>
      <w:r>
        <w:rPr>
          <w:rFonts w:ascii="Arial" w:cs="Arial" w:eastAsia="Arial" w:hAnsi="Arial"/>
          <w:b/>
          <w:bCs/>
          <w:i w:val="false"/>
          <w:iCs w:val="false"/>
          <w:color w:val="333333"/>
          <w:sz w:val="22"/>
          <w:szCs w:val="22"/>
        </w:rPr>
        <w:t xml:space="preserve">Executive Session.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meet in executive session closed to owners only for the following purposes, as permitted by Texas Property Code § 209.0051(c):</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Consultation with legal counsel regarding pending or threatened litigation involving the Association;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Consideration of personnel matters;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Consideration of contracts with third parties where competitive bidding or negotiating strategy is at stake;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Consideration of matters of a sensitive nature regarding an individual owner's privacy where disclosure would not be in the owner's interest.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not take any final action binding the Association in executive session. Any vote or action resulting from executive session deliberations must be ratified by the Board in an open meeting.</w:t>
      </w:r>
    </w:p>
    <w:p>
      <w:pPr>
        <w:pStyle w:val="Heading2"/>
        <w:spacing w:after="120" w:before="300"/>
      </w:pPr>
      <w:r>
        <w:rPr>
          <w:rFonts w:ascii="Arial" w:cs="Arial" w:eastAsia="Arial" w:hAnsi="Arial"/>
          <w:b/>
          <w:bCs/>
          <w:i w:val="false"/>
          <w:iCs w:val="false"/>
          <w:color w:val="2E5F8A"/>
          <w:sz w:val="22"/>
          <w:szCs w:val="22"/>
        </w:rPr>
        <w:t xml:space="preserve">Section 11.  </w:t>
      </w:r>
      <w:r>
        <w:rPr>
          <w:rFonts w:ascii="Arial" w:cs="Arial" w:eastAsia="Arial" w:hAnsi="Arial"/>
          <w:b/>
          <w:bCs/>
          <w:i w:val="false"/>
          <w:iCs w:val="false"/>
          <w:color w:val="333333"/>
          <w:sz w:val="22"/>
          <w:szCs w:val="22"/>
        </w:rPr>
        <w:t xml:space="preserve">Quorum and Action.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 majority of the then-seated Directors constitutes a quorum for the transaction of Board business. Except as otherwise required by the Declaration, these Bylaws, or applicable law, all Board actions require the affirmative vote of a majority of Directors present at a meeting at which a quorum is present. If a quorum is lost during a meeting, the Board may continue to discuss matters but may not take binding action until a quorum is restored.</w:t>
      </w:r>
    </w:p>
    <w:p>
      <w:pPr>
        <w:pStyle w:val="Heading2"/>
        <w:spacing w:after="120" w:before="300"/>
      </w:pPr>
      <w:r>
        <w:rPr>
          <w:rFonts w:ascii="Arial" w:cs="Arial" w:eastAsia="Arial" w:hAnsi="Arial"/>
          <w:b/>
          <w:bCs/>
          <w:i w:val="false"/>
          <w:iCs w:val="false"/>
          <w:color w:val="2E5F8A"/>
          <w:sz w:val="22"/>
          <w:szCs w:val="22"/>
        </w:rPr>
        <w:t xml:space="preserve">Section 12.  </w:t>
      </w:r>
      <w:r>
        <w:rPr>
          <w:rFonts w:ascii="Arial" w:cs="Arial" w:eastAsia="Arial" w:hAnsi="Arial"/>
          <w:b/>
          <w:bCs/>
          <w:i w:val="false"/>
          <w:iCs w:val="false"/>
          <w:color w:val="333333"/>
          <w:sz w:val="22"/>
          <w:szCs w:val="22"/>
        </w:rPr>
        <w:t xml:space="preserve">Action Without Meeting.</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action required or permitted to be taken at a Board meeting may be taken without a meeting by unanimous written consent of all Directors then in office, signed by each Director and filed with the minutes of the Board. Written consent may be delivered by mail, email, or facsimile. Action by written consent is not permitted for matters that Texas Property Code § 209.0051 requires to be taken at an open meeting.</w:t>
      </w:r>
    </w:p>
    <w:p>
      <w:pPr>
        <w:pStyle w:val="Heading2"/>
        <w:spacing w:after="120" w:before="300"/>
      </w:pPr>
      <w:r>
        <w:rPr>
          <w:rFonts w:ascii="Arial" w:cs="Arial" w:eastAsia="Arial" w:hAnsi="Arial"/>
          <w:b/>
          <w:bCs/>
          <w:i w:val="false"/>
          <w:iCs w:val="false"/>
          <w:color w:val="2E5F8A"/>
          <w:sz w:val="22"/>
          <w:szCs w:val="22"/>
        </w:rPr>
        <w:t xml:space="preserve">Section 13.  </w:t>
      </w:r>
      <w:r>
        <w:rPr>
          <w:rFonts w:ascii="Arial" w:cs="Arial" w:eastAsia="Arial" w:hAnsi="Arial"/>
          <w:b/>
          <w:bCs/>
          <w:i w:val="false"/>
          <w:iCs w:val="false"/>
          <w:color w:val="333333"/>
          <w:sz w:val="22"/>
          <w:szCs w:val="22"/>
        </w:rPr>
        <w:t xml:space="preserve">Powers and Duties.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have and exercise all powers and duties necessary or appropriate to manage and administer the Association and the Properties as provided in the Declaration, including:</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Adopting and amending these Bylaws, the Rules of Conduct, design guidelines, and the Fine Schedule, subject to the limitations in the Declaration and in Article VI, VIII, and IX of these Bylaws;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Entering into contracts for maintenance, services, insurance, and other purposes on behalf of the Association, consistent with the Association's budget;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Hiring and supervising the Manager, agents, employees, and independent contractors of the Association;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Adopting and administering the annual budget and levying assessments as provided in Article IV of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Maintaining and investing Association funds, subject to Article X of these Bylaws;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Acquiring, maintaining, improving, and disposing of Common Area property, subject to the limitations in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(g)</w:t>
      </w:r>
      <w:r>
        <w:rPr>
          <w:rFonts w:ascii="Times New Roman" w:cs="Times New Roman" w:eastAsia="Times New Roman" w:hAnsi="Times New Roman"/>
          <w:b w:val="false"/>
          <w:bCs w:val="false"/>
          <w:i w:val="false"/>
          <w:iCs w:val="false"/>
          <w:caps w:val="false"/>
          <w:color w:val="555555"/>
          <w:sz w:val="20"/>
          <w:szCs w:val="20"/>
        </w:rPr>
        <w:t xml:space="preserve">  Enforcing the Declaration, these Bylaws, and the Rules of Conduct through the procedures in Article XII of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(h)</w:t>
      </w:r>
      <w:r>
        <w:rPr>
          <w:rFonts w:ascii="Times New Roman" w:cs="Times New Roman" w:eastAsia="Times New Roman" w:hAnsi="Times New Roman"/>
          <w:b w:val="false"/>
          <w:bCs w:val="false"/>
          <w:i w:val="false"/>
          <w:iCs w:val="false"/>
          <w:caps w:val="false"/>
          <w:color w:val="555555"/>
          <w:sz w:val="20"/>
          <w:szCs w:val="20"/>
        </w:rPr>
        <w:t xml:space="preserve">  Appointing and supervising the Architecture Review Committee, the Firewise Committee, and other committees;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(i)</w:t>
      </w:r>
      <w:r>
        <w:rPr>
          <w:rFonts w:ascii="Times New Roman" w:cs="Times New Roman" w:eastAsia="Times New Roman" w:hAnsi="Times New Roman"/>
          <w:b w:val="false"/>
          <w:bCs w:val="false"/>
          <w:i w:val="false"/>
          <w:iCs w:val="false"/>
          <w:caps w:val="false"/>
          <w:color w:val="555555"/>
          <w:sz w:val="20"/>
          <w:szCs w:val="20"/>
        </w:rPr>
        <w:t xml:space="preserve">  Maintaining records and providing records access as required by the Declaration and Texas Property Code § 209.005;</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(j)</w:t>
      </w:r>
      <w:r>
        <w:rPr>
          <w:rFonts w:ascii="Times New Roman" w:cs="Times New Roman" w:eastAsia="Times New Roman" w:hAnsi="Times New Roman"/>
          <w:b w:val="false"/>
          <w:bCs w:val="false"/>
          <w:i w:val="false"/>
          <w:iCs w:val="false"/>
          <w:caps w:val="false"/>
          <w:color w:val="555555"/>
          <w:sz w:val="20"/>
          <w:szCs w:val="20"/>
        </w:rPr>
        <w:t xml:space="preserve">  Taking all other actions reasonably necessary to carry out the purposes of the Association.</w:t>
      </w:r>
    </w:p>
    <w:p>
      <w:pPr>
        <w:pStyle w:val="Heading2"/>
        <w:spacing w:after="120" w:before="300"/>
      </w:pPr>
      <w:r>
        <w:rPr>
          <w:rFonts w:ascii="Arial" w:cs="Arial" w:eastAsia="Arial" w:hAnsi="Arial"/>
          <w:b/>
          <w:bCs/>
          <w:i w:val="false"/>
          <w:iCs w:val="false"/>
          <w:color w:val="2E5F8A"/>
          <w:sz w:val="22"/>
          <w:szCs w:val="22"/>
        </w:rPr>
        <w:t xml:space="preserve">Section 14.  </w:t>
      </w:r>
      <w:r>
        <w:rPr>
          <w:rFonts w:ascii="Arial" w:cs="Arial" w:eastAsia="Arial" w:hAnsi="Arial"/>
          <w:b/>
          <w:bCs/>
          <w:i w:val="false"/>
          <w:iCs w:val="false"/>
          <w:color w:val="333333"/>
          <w:sz w:val="22"/>
          <w:szCs w:val="22"/>
        </w:rPr>
        <w:t xml:space="preserve">Fiduciary Duties.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Each Director owes fiduciary duties to the Association and all Members, including the duty of care (acting with reasonable diligence and in good faith), the duty of loyalty (acting in the best interests of the Association rather than personal interests), and the duty of obedience (acting in accordance with the Declaration, these Bylaws, and applicable law). Conflicts of interest are governed by Article XIII of these Bylaws and Article III, Section 4 of the Declaration.</w:t>
      </w:r>
    </w:p>
    <w:p>
      <w:pPr>
        <w:pStyle w:val="Heading1"/>
        <w:pageBreakBefore/>
        <w:spacing w:after="180" w:before="520"/>
        <w:jc w:val="center"/>
      </w:pPr>
      <w:r>
        <w:rPr>
          <w:rFonts w:ascii="Arial" w:cs="Arial" w:eastAsia="Arial" w:hAnsi="Arial"/>
          <w:b/>
          <w:bCs/>
          <w:i w:val="false"/>
          <w:iCs w:val="false"/>
          <w:color w:val="1F3864"/>
          <w:sz w:val="26"/>
          <w:szCs w:val="26"/>
        </w:rPr>
        <w:t xml:space="preserve">ARTICLE VI</w:t>
      </w:r>
      <w:r>
        <w:rPr>
          <w:rFonts w:ascii="Arial" w:cs="Arial" w:eastAsia="Arial" w:hAnsi="Arial"/>
          <w:b/>
          <w:bCs/>
          <w:i w:val="false"/>
          <w:iCs w:val="false"/>
          <w:color w:val="1F3864"/>
          <w:sz w:val="22"/>
          <w:szCs w:val="22"/>
        </w:rPr>
        <w:t xml:space="preserve">
AMENDMENTS TO BYLAWS AND GOVERNING DOCUMENTS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Amendment of These Bylaws by the Board.</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amend these Bylaws by majority vote at a duly noticed Board meeting for procedural, administrative, and ministerial matters that do not materially affect the substantive rights of Members. Such matters include changes to meeting logistics, officer titles, committee composition, fiscal year, and similar administrative provisions. The Board shall provide Members with written notice of any such amendment within thirty (30) days of adoption.</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Amendment of These Bylaws by Members.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amendment to these Bylaws that materially expands the Board's authority, restricts Owner rights, increases assessment obligations, or modifies the voting or governance structure of the Association requires the affirmative vote of sixty-seven percent (67%) of the membership present or represented by proxy at a meeting at which a quorum is present. The Board shall provide at least fourteen (14) days' written notice of any proposed amendment to all Members before the meeting at which the vote is taken, including the full text of the proposed amendment.</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Amendment of the Declaration.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Amendment of the Declaration is governed by Article XIII, Section 3 of the Declaration. During the initial twenty-five (25) year term, the Declaration may be amended only by written instrument signed by not less than sixty-seven percent (67%) of all Lot Owners, acknowledged and recorded in the Official Public Records of Travis County, Texas. The Board is responsible for coordinating any proposed Declaration amendment and for ensuring compliance with the procedural requirements of Texas Property Code § 209.0041.</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Recording Requirement.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amendment to the Declaration is not effective until recorded in the Official Public Records of Travis County, Texas. The Secretary/Treasurer shall file any adopted Declaration amendment promptly after execution and shall provide all Members with written notice of recordation and instructions for obtaining a copy within thirty (30) days.</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Consistent Construction.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These Bylaws shall be construed consistently with the Declaration. In the event of an apparent conflict between these Bylaws and the Declaration, the provisions of the Declaration shall govern. In the event of an apparent conflict between these Bylaws and applicable Texas law, applicable law shall govern. The Board shall periodically review these Bylaws in light of current statutory requirements and, where appropriate, propose amendments to ensure continued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7A5C00" w:sz="12" w:space="0"/>
              <w:bottom w:val="single" w:color="CCCCCC" w:sz="1"/>
              <w:right w:val="single" w:color="CCCCCC" w:sz="1"/>
            </w:tcBorders>
            <w:shd w:fill="FFF8E1" w:val="clear"/>
            <w:tcMar>
              <w:top w:type="dxa" w:w="100"/>
              <w:left w:type="dxa" w:w="200"/>
              <w:bottom w:type="dxa" w:w="100"/>
              <w:right w:type="dxa" w:w="160"/>
            </w:tcMar>
          </w:tcPr>
          <w:p>
            <w:pPr>
              <w:spacing w:after="0" w:before="0"/>
            </w:pPr>
            <w:r>
              <w:rPr>
                <w:rFonts w:ascii="Times New Roman" w:cs="Times New Roman" w:eastAsia="Times New Roman" w:hAnsi="Times New Roman"/>
                <w:b/>
                <w:bCs/>
                <w:i w:val="false"/>
                <w:iCs w:val="false"/>
                <w:caps w:val="false"/>
                <w:color w:val="7A5C00"/>
                <w:sz w:val="19"/>
                <w:szCs w:val="19"/>
              </w:rPr>
              <w:t xml:space="preserve">NOTE:  </w:t>
            </w:r>
            <w:r>
              <w:rPr>
                <w:rFonts w:ascii="Times New Roman" w:cs="Times New Roman" w:eastAsia="Times New Roman" w:hAnsi="Times New Roman"/>
                <w:b w:val="false"/>
                <w:bCs w:val="false"/>
                <w:i/>
                <w:iCs/>
                <w:caps w:val="false"/>
                <w:color w:val="555555"/>
                <w:sz w:val="19"/>
                <w:szCs w:val="19"/>
              </w:rPr>
              <w:t xml:space="preserve">The Declaration's Preamble specifically references 'Article VI of the Association Bylaws' as the approval basis for the Amended and Restated Declaration. This Article VI establishes and documents that authority.</w:t>
            </w:r>
          </w:p>
        </w:tc>
      </w:tr>
    </w:tbl>
    <w:p>
      <w:pPr>
        <w:pStyle w:val="Heading1"/>
        <w:pageBreakBefore/>
        <w:spacing w:after="180" w:before="520"/>
        <w:jc w:val="center"/>
      </w:pPr>
      <w:r>
        <w:rPr>
          <w:rFonts w:ascii="Arial" w:cs="Arial" w:eastAsia="Arial" w:hAnsi="Arial"/>
          <w:b/>
          <w:bCs/>
          <w:i w:val="false"/>
          <w:iCs w:val="false"/>
          <w:color w:val="1F3864"/>
          <w:sz w:val="26"/>
          <w:szCs w:val="26"/>
        </w:rPr>
        <w:t xml:space="preserve">ARTICLE VII</w:t>
      </w:r>
      <w:r>
        <w:rPr>
          <w:rFonts w:ascii="Arial" w:cs="Arial" w:eastAsia="Arial" w:hAnsi="Arial"/>
          <w:b/>
          <w:bCs/>
          <w:i w:val="false"/>
          <w:iCs w:val="false"/>
          <w:color w:val="1F3864"/>
          <w:sz w:val="22"/>
          <w:szCs w:val="22"/>
        </w:rPr>
        <w:t xml:space="preserve">
OFFICERS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Officers.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officers of the Association shall be a President, a Vice President, and a Secretary/Treasurer. The Board may create additional officer positions by resolution. All officers must be members of the Board of Directors.</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Election and Term of Officers.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Officers shall be elected annually by the Board of Directors at the first regular Board meeting following the Annual Membership Meeting. Each officer shall serve a term of one (1) year and until a successor is elected and qualified, or until the officer's earlier resignation, removal, or ceasing to qualify as a Director. Officers may be re-elected without limitation.</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Removal and Resignation of Officers.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officer may be removed at any time by a majority vote of the Board at a duly noticed meeting. Any officer may resign at any time by delivering written notice of resignation to the Board. A resignation is effective on receipt or, if a later date is specified, on that later date. Removal or resignation of an officer does not by itself remove the officer from the Board of Directors.</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President.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President is the chief executive officer of the Association and shall: (a) preside at all meetings of the Members and the Board; (b) sign contracts and other documents on behalf of the Association as authorized by the Board; (c) call special meetings of the Board and Members as provided in these Bylaws; (d) appoint committee chairs, subject to Board approval; (e) represent the Association in its dealings with MMPOA I and governmental authorities; and (f) perform all other duties incident to the office or assigned by the Board.</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Vice President.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Vice President shall perform the duties of the President in the President's absence, disability, or refusal to act. The Vice President shall perform such other duties as the Board may assign. When acting in place of the President, the Vice President has all the authority and assumes all the duties of the President.</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Secretary.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Secretary shall serve jointly as Secretary and Treasurer of the Association ("Secretary/Treasurer") unless the Board by resolution creates separate Secretary and Treasurer positions. As Secretary, the officer shall: (a) keep and maintain accurate minutes of all meetings of the Members and the Board; (b) give all required notices in accordance with the Declaration and these Bylaws; (c) maintain the membership roster; (d) maintain custody of the corporate seal, if any, and the Association's official records; (e) file all required documents with governmental authorities; and (f) perform all other duties incident to the office of Secretary.</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Treasurer.</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As Treasurer (or as Secretary/Treasurer in a combined role), the officer shall: (a) have custody of and be responsible for all funds and securities of the Association; (b) receive and deposit all assessments and other Association income; (c) disburse Association funds as authorized by the Board and in accordance with adopted budgets; (d) maintain accurate financial books and records; (e) prepare or supervise preparation of financial reports and statements as required by the Declaration and the Board; (f) coordinate annual audits or financial reviews; and (g) perform all other duties incident to the office of Treasurer.</w:t>
      </w:r>
    </w:p>
    <w:p>
      <w:pPr>
        <w:pStyle w:val="Heading2"/>
        <w:spacing w:after="120" w:before="300"/>
      </w:pPr>
      <w:r>
        <w:rPr>
          <w:rFonts w:ascii="Arial" w:cs="Arial" w:eastAsia="Arial" w:hAnsi="Arial"/>
          <w:b/>
          <w:bCs/>
          <w:i w:val="false"/>
          <w:iCs w:val="false"/>
          <w:color w:val="2E5F8A"/>
          <w:sz w:val="22"/>
          <w:szCs w:val="22"/>
        </w:rPr>
        <w:t xml:space="preserve">Section 8.  </w:t>
      </w:r>
      <w:r>
        <w:rPr>
          <w:rFonts w:ascii="Arial" w:cs="Arial" w:eastAsia="Arial" w:hAnsi="Arial"/>
          <w:b/>
          <w:bCs/>
          <w:i w:val="false"/>
          <w:iCs w:val="false"/>
          <w:color w:val="333333"/>
          <w:sz w:val="22"/>
          <w:szCs w:val="22"/>
        </w:rPr>
        <w:t xml:space="preserve">Combined Officers.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same individual may hold the offices of Secretary and Treasurer simultaneously. No individual may hold both the offices of President and Secretary/Treasurer simultaneously. The Board may, in its discretion, assign any officer duties to a Manager or other agent of the Association, but such delegation does not relieve the officer of responsibility for performance.</w:t>
      </w:r>
    </w:p>
    <w:p>
      <w:pPr>
        <w:pStyle w:val="Heading1"/>
        <w:pageBreakBefore/>
        <w:spacing w:after="180" w:before="520"/>
        <w:jc w:val="center"/>
      </w:pPr>
      <w:r>
        <w:rPr>
          <w:rFonts w:ascii="Arial" w:cs="Arial" w:eastAsia="Arial" w:hAnsi="Arial"/>
          <w:b/>
          <w:bCs/>
          <w:i w:val="false"/>
          <w:iCs w:val="false"/>
          <w:color w:val="1F3864"/>
          <w:sz w:val="26"/>
          <w:szCs w:val="26"/>
        </w:rPr>
        <w:t xml:space="preserve">ARTICLE VIII</w:t>
      </w:r>
      <w:r>
        <w:rPr>
          <w:rFonts w:ascii="Arial" w:cs="Arial" w:eastAsia="Arial" w:hAnsi="Arial"/>
          <w:b/>
          <w:bCs/>
          <w:i w:val="false"/>
          <w:iCs w:val="false"/>
          <w:color w:val="1F3864"/>
          <w:sz w:val="22"/>
          <w:szCs w:val="22"/>
        </w:rPr>
        <w:t xml:space="preserve">
RULES AND REGULATIONS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Authority to Adopt Rules.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of Directors has authority, under this Article VIII of the Bylaws and consistent with Article XIII, Section 5 of the Declaration, to adopt, amend, and enforce reasonable rules and regulations governing the conduct of Owners, Tenants, guests, and invitees within the Properties and Common Area. Such rules must be: (a) consistent with the Declaration; (b) applied uniformly to all Owners; (c) published and distributed to all Members before enforcement; and (d) not in conflict with applicable Texas law or federal law.</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 majority vote of the Members at a duly called meeting at which a quorum is present may overrule any rule or regulation adopted by the Board.</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Rules of Conduct.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maintain and enforce the Rules of Conduct set forth in Exhibit A to these Bylaws. The Rules of Conduct constitute the primary operational standards for the community and address day-to-day use of the Properties, Common Area, and Canyonside Trail. The Board may amend the Rules of Conduct by Board resolution at a duly noticed meeting, subject to the following:</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Any amendment that materially restricts owner rights or imposes new obligations requires thirty (30) days' written notice to all Members before taking effect;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Any amendment that increases the minimum lease term, changes the tenant registration process, or affects owner enforcement rights requires a Two-Thirds Vote of Members at a meeting with quorum present;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Amendments shall be incorporated into an updated version of Exhibit A and distributed to all Members within thirty (30) days of adoption.</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Design Guidelines.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Architecture Review Committee, with Board approval, shall adopt written design guidelines governing architectural, landscaping, and environmental standards for the Properties. Design guidelines supplement the standards in Article VI of the Declaration and shall be made available to all Members and prospective owners. Design guidelines may be amended by the ARC with Board approval; substantive amendments require thirty (30) days' notice to Members before taking effect. Design guidelines shall be posted on the Association's website.</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Fine Schedule.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adopt and maintain a written Fine Schedule as provided in Article XII, Section 4 of the Declaration. The Fine Schedule must be published and provided to all Members before any fines are assessed. The Board may amend the Fine Schedule by resolution at any time, subject to thirty (30) days' advance written notice to all Members before revised amounts take effect. The current Fine Schedule shall be posted on the Association's website and shall be provided to any Member or prospective buyer upon request.</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Distribution Requirements.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shall provide each Owner with a complete copy of the current Declaration, these Bylaws, and the Rules of Conduct (Exhibit A): (a) annually, at least thirty (30) days before the beginning of each Fiscal Year; (b) within fourteen (14) days of adoption of any amendment; and (c) upon request. Each Owner must provide each new Tenant with a copy of these documents before the commencement of occupancy, as required by Article XIII, Section 5(b) of the Declaration.</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Conflicts of Interest Policy.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Consistent with Article III, Section 4(e) of the Declaration, the Board shall adopt a written Conflicts of Interest Policy within one hundred eighty (180) days of the effective date of the Amended and Restated Declaration. The Policy shall be consistent with the conflict-of-interest requirements of the Declaration and the Texas Business Organizations Code. The Board shall make the Policy available to all Members upon request and shall provide annual training on the Policy to all incoming Directors.</w:t>
      </w:r>
    </w:p>
    <w:p>
      <w:pPr>
        <w:pStyle w:val="Heading1"/>
        <w:pageBreakBefore/>
        <w:spacing w:after="180" w:before="520"/>
        <w:jc w:val="center"/>
      </w:pPr>
      <w:r>
        <w:rPr>
          <w:rFonts w:ascii="Arial" w:cs="Arial" w:eastAsia="Arial" w:hAnsi="Arial"/>
          <w:b/>
          <w:bCs/>
          <w:i w:val="false"/>
          <w:iCs w:val="false"/>
          <w:color w:val="1F3864"/>
          <w:sz w:val="26"/>
          <w:szCs w:val="26"/>
        </w:rPr>
        <w:t xml:space="preserve">ARTICLE IX</w:t>
      </w:r>
      <w:r>
        <w:rPr>
          <w:rFonts w:ascii="Arial" w:cs="Arial" w:eastAsia="Arial" w:hAnsi="Arial"/>
          <w:b/>
          <w:bCs/>
          <w:i w:val="false"/>
          <w:iCs w:val="false"/>
          <w:color w:val="1F3864"/>
          <w:sz w:val="22"/>
          <w:szCs w:val="22"/>
        </w:rPr>
        <w:t xml:space="preserve">
COMMITTEES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Architecture Review Committee.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appoint an Architecture Review Committee ("ARC") composed of not fewer than three (3) persons as provided in Article VI, Section 1 of the Declaration. The ARC is responsible for reviewing and approving or disapproving all applications for improvements and alterations to Lots and Common Area within the Properties. The ARC operates under the Declaration, the design guidelines, and any ARC procedures adopted by the Board. ARC decisions are final and binding on the submitting Owner, subject to the Owner's right to resubmit revised plans.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ARC members serve at the pleasure of the Board for terms determined by the Board. At least a majority of ARC members must be Members of the Association.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The ARC shall maintain written records of all applications, decisions, and conditions of approval, which are Association records subject to Member inspection rights.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The ARC shall post its current design guidelines on the Association's website and make them available to Members upon request.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The ARC shall act on complete applications within forty-five (45) days of acknowledged receipt as provided in Declaration Article VI, Section 1. Failure to act within that period results in deemed approval upon Owner's delivery of written reminder notice to the Board.</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Firewise Committee.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appoint a Firewise Committee as defined in Article I, Section 19 of the Declaration. The Firewise Committee serves as an advisory body to the Board on matters of wildfire prevention, defensible space, and vegetation management within the Properties. The Firewise Committee shall:</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Develop and maintain written defensible space standards and wildfire risk reduction recommendations for the Properties, consistent with guidance from the Texas A&amp;M Forest Service, Firewise USA, and applicable City of Austin and Travis County fire ordinances;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Review and advise on Owner requests to trim or clear brush on Common Area, and provide written recommendations to the Board as required by Article VIII, Section 3 of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Coordinate with local fire authorities and emergency management agencies as appropriate;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Prepare an annual wildfire risk assessment report for presentation to the Members at the Annual Meeting.</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Firewise Committee shall consist of not fewer than three (3) Members of the Association. Members serve for one-year terms renewable at the Board's discretion. The Firewise Committee is an advisory body; all final decisions regarding Common Area vegetation management rest with the Board.</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Nominating Committee.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appoint a Nominating Committee of not fewer than three (3) Members in good standing (who are not currently serving as Directors) at least sixty (60) days before each Annual Meeting at which Board elections will be held. The Nominating Committee shall: (a) solicit nominations from all Members; (b) evaluate candidates for Board positions; (c) prepare a slate of recommended candidates; and (d) present the slate to Members at least fourteen (14) days before the Annual Meeting in the meeting notice. Floor nominations remain available to all Members.</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Other Committees.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establish such other standing or ad hoc committees as it deems necessary or appropriate to assist in carrying out the Association's functions. Each committee shall operate under a written charter approved by the Board defining its purpose, composition, term, and authority. Committees may include Members and non-Members unless otherwise restricted by the Board. No committee may take action that binds the Association without specific prior Board authorization.</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Committee Procedures.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Unless otherwise specified in the committee's charter: (a) a majority of committee members constitutes a quorum for any committee action; (b) committee actions require the affirmative vote of a majority of members present at a meeting with quorum; (c) committee meetings are open to attending Members unless the Board specifies otherwise in the charter; (d) each committee shall keep minutes of its meetings, which are Association records; and (e) committee chairs shall report to the Board at each regular Board meeting on the committee's activities.</w:t>
      </w:r>
    </w:p>
    <w:p>
      <w:pPr>
        <w:pStyle w:val="Heading1"/>
        <w:pageBreakBefore/>
        <w:spacing w:after="180" w:before="520"/>
        <w:jc w:val="center"/>
      </w:pPr>
      <w:r>
        <w:rPr>
          <w:rFonts w:ascii="Arial" w:cs="Arial" w:eastAsia="Arial" w:hAnsi="Arial"/>
          <w:b/>
          <w:bCs/>
          <w:i w:val="false"/>
          <w:iCs w:val="false"/>
          <w:color w:val="1F3864"/>
          <w:sz w:val="26"/>
          <w:szCs w:val="26"/>
        </w:rPr>
        <w:t xml:space="preserve">ARTICLE X</w:t>
      </w:r>
      <w:r>
        <w:rPr>
          <w:rFonts w:ascii="Arial" w:cs="Arial" w:eastAsia="Arial" w:hAnsi="Arial"/>
          <w:b/>
          <w:bCs/>
          <w:i w:val="false"/>
          <w:iCs w:val="false"/>
          <w:color w:val="1F3864"/>
          <w:sz w:val="22"/>
          <w:szCs w:val="22"/>
        </w:rPr>
        <w:t xml:space="preserve">
FINANCES AND ASSESSMENTS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Fiscal Year.</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fiscal year of the Association is the calendar year, January 1 through December 31, unless changed by Board resolution with at least thirty (30) days' prior written notice to all Members.</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Annual Budget.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prepare and adopt an annual budget before the beginning of each Fiscal Year in accordance with Article IV, Section 3 of the Declaration and Texas Property Code § 209.0052. The budget shall include: (a) estimated operating expenses for the coming year; (b) estimated revenues from assessments and other sources; (c) a Reserve Fund contribution consistent with the current Reserve Analysis; and (d) a contingency line item of not less than five percent (5%) of total estimated operating expenses. The Board shall provide each Owner with a written budget summary and the Annual Assessment amount within thirty (30) days of budget adoption. Consistent with Texas Property Code § 209.0052, any operating surplus remaining at the end of a fiscal year shall be applied by the Board in one or more of the following ways: (a) credited against the following year’s Annual Assessment to reduce the amount levied; (b) transferred to the Capital Reserve Fund; or (c) retained in the operating account as a contingency reserve not to exceed ten percent (10%) of the current year’s operating budget. The Board shall disclose the amount and disposition of any surplus in the annual financial report provided to Members.</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Assessments.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Annual Assessments and Special Assessments shall be levied, collected, and enforced as provided in Article IV of the Declaration, Texas Property Code Chapter 209, and the policies adopted by the Board under these Bylaws. The Board shall establish the due date for Annual Assessments and shall notify all Owners at least thirty (30) days in advance of the due date. Assessment payment procedures, delinquency policies, and lien procedures are governed by the Declaration and applicable law.</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Reserve Fund.</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establish and maintain the Capital Reserve Fund as a segregated interest-bearing account separate from the Association's operating account, as provided in Article IV, Section 13 of the Declaration. Reserve Fund monies shall be deposited in a federally insured account or invested in accordance with a written Investment Policy adopted by the Board. Withdrawals from the Reserve Fund require the signature of two (2) authorized officers and may not exceed amounts specified in the current Reserve Analysis for the purposes authorized by the Declaration.</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Depository and Signatory Authority.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designate one or more federally insured banks or financial institutions as the Association's depositories. All Association funds shall be deposited in the Association's name. Checks, drafts, or other withdrawals of Association funds shall require: (a) two authorized signatories for amounts over one thousand dollars ($1,000); (b) one authorized signatory for amounts of one thousand dollars ($1,000) or less. The President and Secretary/Treasurer are standing authorized signatories; the Board may designate additional authorized signatories by resolution. The Manager, if any, may be a signatory only on the operating account and only within limits expressly authorized by Board resolution.</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Financial Controls.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implement and maintain the following minimum internal financial controls: (a) the Secretary/Treasurer shall reconcile all bank accounts monthly; (b) no individual shall have sole control over both the receipt and disbursement of Association funds; (c) all contracts and expenditures above a threshold established by Board resolution (initially $2,500 per transaction) require prior Board approval; (d) the Manager, if any, shall submit monthly financial reports to the Board in a format approved by the Board; and (e) the Association shall not commingle Association funds with funds of any Director, officer, or employee.</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Annual Financial Review.</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cause an annual financial review or audit of the Association's accounts to be conducted by a qualified accountant or CPA, as required by Article III, Section 5(f) of the Declaration. The reviewed or audited financial statements shall be presented to Members at the Annual Meeting and shall be made available to any Member upon request. The Board shall retain copies of all financial statements for the periods required by Article XIII, Section 8 of the Declaration.</w:t>
      </w:r>
    </w:p>
    <w:p>
      <w:pPr>
        <w:pStyle w:val="Heading2"/>
        <w:spacing w:after="120" w:before="300"/>
      </w:pPr>
      <w:r>
        <w:rPr>
          <w:rFonts w:ascii="Arial" w:cs="Arial" w:eastAsia="Arial" w:hAnsi="Arial"/>
          <w:b/>
          <w:bCs/>
          <w:i w:val="false"/>
          <w:iCs w:val="false"/>
          <w:color w:val="2E5F8A"/>
          <w:sz w:val="22"/>
          <w:szCs w:val="22"/>
        </w:rPr>
        <w:t xml:space="preserve">Section 8.  </w:t>
      </w:r>
      <w:r>
        <w:rPr>
          <w:rFonts w:ascii="Arial" w:cs="Arial" w:eastAsia="Arial" w:hAnsi="Arial"/>
          <w:b/>
          <w:bCs/>
          <w:i w:val="false"/>
          <w:iCs w:val="false"/>
          <w:color w:val="333333"/>
          <w:sz w:val="22"/>
          <w:szCs w:val="22"/>
        </w:rPr>
        <w:t xml:space="preserve">Contracts and Expenditures.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adopt a written procurement policy establishing the process for obtaining bids, awarding contracts, and approving expenditures, consistent with its fiduciary duties to the Members. At minimum: (a) competitive bids or proposals shall be solicited for contracts expected to exceed five thousand dollars ($5,000) per year; (b) all contracts with a term exceeding one year shall be approved at a duly noticed Board meeting; (c) all contracts with the Manager shall comply with Article III, Section 5 of the Declaration; and (d) no Director or officer shall execute a contract on behalf of the Association unless authorized by the Board.</w:t>
      </w:r>
    </w:p>
    <w:p>
      <w:pPr>
        <w:pStyle w:val="Heading1"/>
        <w:pageBreakBefore/>
        <w:spacing w:after="180" w:before="520"/>
        <w:jc w:val="center"/>
      </w:pPr>
      <w:r>
        <w:rPr>
          <w:rFonts w:ascii="Arial" w:cs="Arial" w:eastAsia="Arial" w:hAnsi="Arial"/>
          <w:b/>
          <w:bCs/>
          <w:i w:val="false"/>
          <w:iCs w:val="false"/>
          <w:color w:val="1F3864"/>
          <w:sz w:val="26"/>
          <w:szCs w:val="26"/>
        </w:rPr>
        <w:t xml:space="preserve">ARTICLE XI</w:t>
      </w:r>
      <w:r>
        <w:rPr>
          <w:rFonts w:ascii="Arial" w:cs="Arial" w:eastAsia="Arial" w:hAnsi="Arial"/>
          <w:b/>
          <w:bCs/>
          <w:i w:val="false"/>
          <w:iCs w:val="false"/>
          <w:color w:val="1F3864"/>
          <w:sz w:val="22"/>
          <w:szCs w:val="22"/>
        </w:rPr>
        <w:t xml:space="preserve">
BOOKS AND RECORDS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Records Required.</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shall maintain the following books and records as required by Texas Property Code § 209.005 and the Texas Business Organizations Code: (a) the Declaration and all amendments, certified as filed with the Travis County Official Public Records; (b) these Bylaws and all amendments; (c) the Rules of Conduct (Exhibit A) and all amendments; (d) the Articles of Incorporation or Certificate of Formation and all amendments; (e) the membership roster and current addresses; (f) minutes of all Member meetings and all Board meetings; (g) a copy of all contracts; (h) financial statements, books, and records of account for each Fiscal Year; (i) tax returns; and (j) the current Fine Schedule and design guidelines.</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Inspection Rights.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Member or the Member's authorized representative has the right to inspect and copy Association records upon written request as provided in Article XIII, Section 7 of the Declaration and Texas Property Code § 209.005. The Association shall respond to a written request within ten (10) business days. The Association may charge the Member for copying costs at the maximum rate permitted by applicable statute. The following records are not subject to mandatory disclosure without the prior written consent of the person who is the subject of the information: (a) Owner violation history; (b) Owner personal financial information; (c) Owner contact information other than mailing address; and (d) records legally exempt from disclosure.</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Record Retention.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shall retain all records in accordance with the schedule in Article XIII, Section 8 of the Declaration. The Secretary/Treasurer is responsible for the safekeeping and timely destruction of records. Records may be maintained in electronic format provided they are legible, accessible, and backed up regularly.</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Online Availability.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shall maintain a publicly accessible website or online portal as provided in Article XIII, Section 11 of the Declaration and Texas Property Code § 207.006. The following documents shall be posted on the website at no charge and updated within sixty (60) days of any amendment: (a) the Declaration; (b) these Bylaws; (c) the Rules of Conduct; (d) the current Annual Assessment amount and due dates; (e) the current Fine Schedule; (f) the most recently adopted budget; and (g) any other documents required by applicable Texas law.</w:t>
      </w:r>
    </w:p>
    <w:p>
      <w:pPr>
        <w:pStyle w:val="Heading1"/>
        <w:pageBreakBefore/>
        <w:spacing w:after="180" w:before="520"/>
        <w:jc w:val="center"/>
      </w:pPr>
      <w:r>
        <w:rPr>
          <w:rFonts w:ascii="Arial" w:cs="Arial" w:eastAsia="Arial" w:hAnsi="Arial"/>
          <w:b/>
          <w:bCs/>
          <w:i w:val="false"/>
          <w:iCs w:val="false"/>
          <w:color w:val="1F3864"/>
          <w:sz w:val="26"/>
          <w:szCs w:val="26"/>
        </w:rPr>
        <w:t xml:space="preserve">ARTICLE XII</w:t>
      </w:r>
      <w:r>
        <w:rPr>
          <w:rFonts w:ascii="Arial" w:cs="Arial" w:eastAsia="Arial" w:hAnsi="Arial"/>
          <w:b/>
          <w:bCs/>
          <w:i w:val="false"/>
          <w:iCs w:val="false"/>
          <w:color w:val="1F3864"/>
          <w:sz w:val="22"/>
          <w:szCs w:val="22"/>
        </w:rPr>
        <w:t xml:space="preserve">
INDEMNIFICATION AND INSURANCE</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Indemnification of Directors and Officers.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To the fullest extent permitted by the Texas Business Organizations Code, the Association shall indemnify and hold harmless each current and former Director, officer, and committee member (an "Indemnitee") against any and all claims, liabilities, costs, and expenses (including reasonable attorney's fees) arising out of or in connection with the Indemnitee's service in that capacity, provided that: (a) the Indemnitee acted in good faith and in a manner the Indemnitee reasonably believed to be in or not opposed to the best interests of the Association; and (b) in the case of a criminal proceeding, the Indemnitee had no reasonable cause to believe the conduct was unlawful.</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 indemnification shall be provided to any Indemnitee adjudged liable to the Association for gross negligence, willful misconduct, fraud, or dishonesty, or for actions taken for personal financial benefit at the expense of the Association. The Association shall advance expenses to an Indemnitee pending final resolution, subject to an undertaking by the Indemnitee to repay such advances if it is ultimately determined that indemnification is not warranted.</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Directors and Officers Insurance.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obtain and maintain directors and officers liability insurance ("D&amp;O insurance") providing coverage for the Association's Directors, officers, and committee members against claims arising from acts, errors, or omissions in the performance of their duties. The Board shall evaluate the coverage annually and adjust the policy limits as appropriate. The existence of D&amp;O insurance does not limit or expand the indemnification rights set forth in Section 1 of this Article.</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Association Insurance.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obtain and maintain at minimum the following insurance coverages for the Association: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Commercial general liability insurance covering the Common Area and Association activities, with limits of not less than one million dollars ($1,000,000) per occurrence and two million dollars ($2,000,000) aggregate, or such higher limits as the Board determines appropriate;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Property insurance covering all Association-owned improvements on the Common Area at full replacement cost;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Fidelity bond or crime insurance covering all persons with access to Association funds, in an amount not less than three months' total assessments or fifty thousand dollars ($50,000), whichever is greater;</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Workers' compensation insurance as required by Texas law for any employees of the Association.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purchase such additional coverages as it deems appropriate, including umbrella liability, cyber liability, and environmental liability insurance.</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Homeowner Insurance.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Each Owner's obligation to maintain homeowner's insurance on their Lot and dwelling is governed by Article XIII, Section 12 of the Declaration. The Association's insurance does not cover individual Lots, dwellings, or personal property of Owners. Each Owner should consult their own insurance advisor to ensure adequate coverage.</w:t>
      </w:r>
    </w:p>
    <w:p>
      <w:pPr>
        <w:pStyle w:val="Heading1"/>
        <w:pageBreakBefore/>
        <w:spacing w:after="180" w:before="520"/>
        <w:jc w:val="center"/>
      </w:pPr>
      <w:r>
        <w:rPr>
          <w:rFonts w:ascii="Arial" w:cs="Arial" w:eastAsia="Arial" w:hAnsi="Arial"/>
          <w:b/>
          <w:bCs/>
          <w:i w:val="false"/>
          <w:iCs w:val="false"/>
          <w:color w:val="1F3864"/>
          <w:sz w:val="26"/>
          <w:szCs w:val="26"/>
        </w:rPr>
        <w:t xml:space="preserve">ARTICLE XIII</w:t>
      </w:r>
      <w:r>
        <w:rPr>
          <w:rFonts w:ascii="Arial" w:cs="Arial" w:eastAsia="Arial" w:hAnsi="Arial"/>
          <w:b/>
          <w:bCs/>
          <w:i w:val="false"/>
          <w:iCs w:val="false"/>
          <w:color w:val="1F3864"/>
          <w:sz w:val="22"/>
          <w:szCs w:val="22"/>
        </w:rPr>
        <w:t xml:space="preserve">
CONFLICTS OF INTEREST</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Policy Requirement.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shall adopt a written Conflicts of Interest Policy within one hundred eighty (180) days of the effective date of the Amended and Restated Declaration, as required by Article III, Section 4(e) of the Declaration. The Policy shall be consistent with the requirements of the Declaration, the Texas Business Organizations Code, and any applicable IRS guidance for nonprofit organizations. The Board shall review the Policy annually and update it as needed.</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Disclosure of Conflicts.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Each Director and officer shall promptly disclose to the full Board any direct or indirect personal financial interest that person has in any matter coming before the Board for decision, including any contract, transaction, enforcement matter, or expenditure in which that person or a member of that person's immediate family has a financial stake. Disclosure shall be made at the earliest opportunity — ideally before the matter is discussed — and shall be recorded in the minutes.</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Recusal.</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 Director or officer with a disclosed conflict of interest shall: (a) recuse himself or herself from all deliberation and voting on the conflicted matter; (b) not be present in the room during voting on the conflicted matter (unless the Board by majority vote determines that the Director's presence is unnecessary); and (c) not attempt to influence the outcome of the vote. The conflicted individual's recusal shall be recorded in the minutes.</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Contracts with Interested Parties.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 contract or transaction between the Association and any Director, officer, or an entity in which a Director or officer has a material financial interest shall be void or voidable solely on account of the conflict, provided that: (a) the material facts of the conflict were fully disclosed to the Board; (b) the interested person recused from the vote; and (c) the disinterested members of the Board approved the contract or transaction in good faith as being in the best interest of the Association.</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Documentation.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disclosed conflicts of interest, recusals, and Board actions with respect to conflicted matters shall be documented in the minutes of the Board meeting at which the disclosure was made and at which the vote was taken. The Secretary shall maintain a conflict of interest disclosure log as part of the Association's permanent records.</w:t>
      </w:r>
    </w:p>
    <w:p>
      <w:pPr>
        <w:pStyle w:val="Heading1"/>
        <w:pageBreakBefore/>
        <w:spacing w:after="180" w:before="520"/>
        <w:jc w:val="center"/>
      </w:pPr>
      <w:r>
        <w:rPr>
          <w:rFonts w:ascii="Arial" w:cs="Arial" w:eastAsia="Arial" w:hAnsi="Arial"/>
          <w:b/>
          <w:bCs/>
          <w:i w:val="false"/>
          <w:iCs w:val="false"/>
          <w:color w:val="1F3864"/>
          <w:sz w:val="26"/>
          <w:szCs w:val="26"/>
        </w:rPr>
        <w:t xml:space="preserve">ARTICLE XIV</w:t>
      </w:r>
      <w:r>
        <w:rPr>
          <w:rFonts w:ascii="Arial" w:cs="Arial" w:eastAsia="Arial" w:hAnsi="Arial"/>
          <w:b/>
          <w:bCs/>
          <w:i w:val="false"/>
          <w:iCs w:val="false"/>
          <w:color w:val="1F3864"/>
          <w:sz w:val="22"/>
          <w:szCs w:val="22"/>
        </w:rPr>
        <w:t xml:space="preserve">
GENERAL PROVISIONS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Effective Date.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These Bylaws are effective upon adoption by the Board of Directors and shall apply to all Members and the Association from and after the recordation of the Amended and Restated Declaration in the Official Public Records of Travis County, Texas.</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Seal.</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may, but is not required to, have a corporate seal. If a seal is adopted, it shall be affixed to such instruments as the Board may determine. The absence of a seal does not affect the validity of any document signed on behalf of the Association.</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Execution of Documents.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Except as otherwise provided in these Bylaws or required by applicable law, all contracts, deeds, mortgages, notes, and other instruments requiring the Association's execution shall be signed by the President and the Secretary/Treasurer, or by such other persons as the Board may authorize by resolution.</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Parliamentary Authority.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In matters of meeting procedure not governed by these Bylaws, the Declaration, or applicable law, Robert's Rules of Order, Newly Revised, shall serve as the general parliamentary authority, but strict compliance is not required and deviation does not invalidate any action taken by the Association.</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Governing Law.</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These Bylaws shall be governed by the laws of the State of Texas, including the Texas Business Organizations Code and the Texas Property Code. Any legal action arising under these Bylaws shall be brought in the appropriate courts of Travis County, Texas.</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Severability.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If any provision of these Bylaws is found to be invalid or unenforceable, the remaining provisions shall continue in full force and effect. The Board shall take reasonable steps to replace any invalid provision with a valid provision that most closely achieves the intent of the invalid provision.</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Integration with Declaration.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These Bylaws and the Declaration shall be construed together as a unified governing framework for the Association, consistent with the document hierarchy established in Article I, Section 22 of the Declaration. The Declaration is the senior governing instrument; in the event of any conflict between these Bylaws and the Declaration, the Declaration controls. In the event of any conflict between these Bylaws and applicable Texas law, applicable law controls. References in the Declaration to 'Article VI of the Association Bylaws' refer to Article VI of these Bylaws (Amendments). References to 'Article VIII of the Bylaws' refer to Article VIII of these Bylaws (Rules and Regulations). All other cross-references in the Declaration to the Bylaws shall be interpreted to refer to the corresponding Articles of these Bylaws.</w:t>
      </w:r>
    </w:p>
    <w:p>
      <w:pPr>
        <w:spacing w:after="400" w:before="0"/>
      </w:pPr>
      <w:r>
        <w:rPr>
          <w:rFonts w:ascii="Times New Roman" w:cs="Times New Roman" w:eastAsia="Times New Roman" w:hAnsi="Times New Roman"/>
          <w:b w:val="false"/>
          <w:bCs w:val="false"/>
          <w:i w:val="false"/>
          <w:iCs w:val="false"/>
          <w:caps w:val="false"/>
          <w:color w:val="333333"/>
          <w:sz w:val="20"/>
          <w:szCs w:val="20"/>
        </w:rPr>
        <w:t xml:space="preserve"/>
      </w:r>
    </w:p>
    <w:p>
      <w:pPr>
        <w:spacing w:after="100" w:before="300"/>
        <w:jc w:val="center"/>
      </w:pPr>
      <w:r>
        <w:rPr>
          <w:rFonts w:ascii="Arial" w:cs="Arial" w:eastAsia="Arial" w:hAnsi="Arial"/>
          <w:b w:val="false"/>
          <w:bCs w:val="false"/>
          <w:i/>
          <w:iCs/>
          <w:color w:val="555555"/>
          <w:sz w:val="19"/>
          <w:szCs w:val="19"/>
        </w:rPr>
        <w:t xml:space="preserve">ADOPTED by the Board of Directors of</w:t>
      </w:r>
    </w:p>
    <w:p>
      <w:pPr>
        <w:spacing w:after="100" w:before="0"/>
        <w:jc w:val="center"/>
      </w:pPr>
      <w:r>
        <w:rPr>
          <w:rFonts w:ascii="Arial" w:cs="Arial" w:eastAsia="Arial" w:hAnsi="Arial"/>
          <w:b/>
          <w:bCs/>
          <w:i w:val="false"/>
          <w:iCs w:val="false"/>
          <w:color w:val="1F3864"/>
          <w:sz w:val="20"/>
          <w:szCs w:val="20"/>
        </w:rPr>
        <w:t xml:space="preserve">MEADOW MOUNTAIN PROPERTY OWNERS ASSOCIATION NO. II-A, INC.</w:t>
      </w:r>
    </w:p>
    <w:p>
      <w:pPr>
        <w:spacing w:after="200" w:before="0"/>
        <w:jc w:val="center"/>
      </w:pPr>
      <w:r>
        <w:rPr>
          <w:rFonts w:ascii="Arial" w:cs="Arial" w:eastAsia="Arial" w:hAnsi="Arial"/>
          <w:b w:val="false"/>
          <w:bCs w:val="false"/>
          <w:i/>
          <w:iCs/>
          <w:color w:val="555555"/>
          <w:sz w:val="19"/>
          <w:szCs w:val="19"/>
        </w:rPr>
        <w:t xml:space="preserve">a Texas nonprofit corporation</w:t>
      </w:r>
    </w:p>
    <w:p>
      <w:pPr>
        <w:spacing w:after="0" w:before="200"/>
      </w:pPr>
      <w:r>
        <w:rPr>
          <w:rFonts w:ascii="Arial" w:cs="Arial" w:eastAsia="Arial" w:hAnsi="Arial"/>
          <w:b w:val="false"/>
          <w:bCs w:val="false"/>
          <w:i w:val="false"/>
          <w:iCs w:val="false"/>
          <w:color w:val="333333"/>
          <w:sz w:val="20"/>
          <w:szCs w:val="20"/>
        </w:rPr>
        <w:t xml:space="preserve">________________________________________    President</w:t>
      </w:r>
    </w:p>
    <w:p>
      <w:pPr>
        <w:spacing w:after="0" w:before="200"/>
      </w:pPr>
      <w:r>
        <w:rPr>
          <w:rFonts w:ascii="Arial" w:cs="Arial" w:eastAsia="Arial" w:hAnsi="Arial"/>
          <w:b w:val="false"/>
          <w:bCs w:val="false"/>
          <w:i w:val="false"/>
          <w:iCs w:val="false"/>
          <w:color w:val="333333"/>
          <w:sz w:val="20"/>
          <w:szCs w:val="20"/>
        </w:rPr>
        <w:t xml:space="preserve">________________________________________    Vice President</w:t>
      </w:r>
    </w:p>
    <w:p>
      <w:pPr>
        <w:spacing w:after="0" w:before="200"/>
      </w:pPr>
      <w:r>
        <w:rPr>
          <w:rFonts w:ascii="Arial" w:cs="Arial" w:eastAsia="Arial" w:hAnsi="Arial"/>
          <w:b w:val="false"/>
          <w:bCs w:val="false"/>
          <w:i w:val="false"/>
          <w:iCs w:val="false"/>
          <w:color w:val="333333"/>
          <w:sz w:val="20"/>
          <w:szCs w:val="20"/>
        </w:rPr>
        <w:t xml:space="preserve">________________________________________    Secretary/Treasurer</w:t>
      </w:r>
    </w:p>
    <w:p>
      <w:pPr>
        <w:spacing w:after="200" w:before="0"/>
      </w:pPr>
      <w:r>
        <w:rPr>
          <w:rFonts w:ascii="Times New Roman" w:cs="Times New Roman" w:eastAsia="Times New Roman" w:hAnsi="Times New Roman"/>
          <w:b w:val="false"/>
          <w:bCs w:val="false"/>
          <w:i w:val="false"/>
          <w:iCs w:val="false"/>
          <w:caps w:val="false"/>
          <w:color w:val="333333"/>
          <w:sz w:val="20"/>
          <w:szCs w:val="20"/>
        </w:rPr>
        <w:t xml:space="preserve"/>
      </w:r>
    </w:p>
    <w:p>
      <w:pPr>
        <w:spacing w:after="0" w:before="0"/>
        <w:jc w:val="left"/>
      </w:pPr>
      <w:r>
        <w:rPr>
          <w:rFonts w:ascii="Arial" w:cs="Arial" w:eastAsia="Arial" w:hAnsi="Arial"/>
          <w:b w:val="false"/>
          <w:bCs w:val="false"/>
          <w:i w:val="false"/>
          <w:iCs w:val="false"/>
          <w:color w:val="333333"/>
          <w:sz w:val="20"/>
          <w:szCs w:val="20"/>
        </w:rPr>
        <w:t xml:space="preserve">Date of Adoption: ___________________________</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2"/>
      </w:pBdr>
      <w:jc w:val="center"/>
    </w:pPr>
    <w:r>
      <w:rPr>
        <w:rFonts w:ascii="Arial" w:cs="Arial" w:eastAsia="Arial" w:hAnsi="Arial"/>
        <w:b w:val="false"/>
        <w:bCs w:val="false"/>
        <w:i/>
        <w:iCs/>
        <w:color w:val="888888"/>
        <w:sz w:val="16"/>
        <w:szCs w:val="16"/>
      </w:rPr>
      <w:t xml:space="preserve">Adopted in conjunction with the Amended and Restated Declaration of Covenants, Conditions and Restrictions — Meadow Mountain POA No. II-A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2"/>
      </w:pBdr>
      <w:tabs>
        <w:tab w:val="right" w:pos="9360"/>
      </w:tabs>
    </w:pPr>
    <w:r>
      <w:rPr>
        <w:rFonts w:ascii="Arial" w:cs="Arial" w:eastAsia="Arial" w:hAnsi="Arial"/>
        <w:b/>
        <w:bCs/>
        <w:i w:val="false"/>
        <w:iCs w:val="false"/>
        <w:color w:val="2E5F8A"/>
        <w:sz w:val="17"/>
        <w:szCs w:val="17"/>
      </w:rPr>
      <w:t xml:space="preserve">MMPOA No. II-A  |  Bylaws</w:t>
    </w:r>
    <w:r>
      <w:rPr>
        <w:rFonts w:ascii="Arial" w:cs="Arial" w:eastAsia="Arial" w:hAnsi="Arial"/>
        <w:sz w:val="17"/>
        <w:szCs w:val="17"/>
      </w:rPr>
      <w:t xml:space="preserv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jc w:val="center"/>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300"/>
      <w:outlineLvl w:val="1"/>
    </w:pPr>
    <w:rPr>
      <w:rFonts w:ascii="Arial" w:cs="Arial" w:eastAsia="Arial" w:hAnsi="Arial"/>
      <w:b/>
      <w:bCs/>
      <w:color w:val="2E5F8A"/>
      <w:sz w:val="22"/>
      <w:szCs w:val="22"/>
    </w:rPr>
  </w:style>
  <w:style w:type="paragraph" w:styleId="Heading3">
    <w:name w:val="Heading 3"/>
    <w:basedOn w:val="Normal"/>
    <w:next w:val="Normal"/>
    <w:qFormat/>
    <w:pPr>
      <w:spacing w:after="80" w:before="200"/>
      <w:outlineLvl w:val="2"/>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2026-04-03T16:38:29.269Z</dcterms:created>
  <dcterms:modified xsi:type="dcterms:W3CDTF">2026-04-03T16:38:29.269Z</dcterms:modified>
</cp:coreProperties>
</file>

<file path=docProps/custom.xml><?xml version="1.0" encoding="utf-8"?>
<Properties xmlns="http://schemas.openxmlformats.org/officeDocument/2006/custom-properties" xmlns:vt="http://schemas.openxmlformats.org/officeDocument/2006/docPropsVTypes"/>
</file>