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93BC6" w14:paraId="563FA5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4C0D6EB" w14:textId="2C7714E4" w:rsidR="00F93BC6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1373CD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26  ·  </w:t>
            </w:r>
          </w:p>
          <w:p w14:paraId="2501EF22" w14:textId="77777777" w:rsidR="00F93BC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Assessment Collection Policy</w:t>
            </w:r>
          </w:p>
        </w:tc>
      </w:tr>
    </w:tbl>
    <w:p w14:paraId="5EEED39A" w14:textId="77777777" w:rsidR="00F93BC6" w:rsidRDefault="00F93BC6">
      <w:pPr>
        <w:spacing w:after="120"/>
      </w:pPr>
    </w:p>
    <w:p w14:paraId="0B38B0D0" w14:textId="77777777" w:rsidR="00F93BC6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>MEADOW MOUNTAIN PROPERTY OWNERS ASSOCIATION NO. II-A, INC.</w:t>
      </w:r>
    </w:p>
    <w:p w14:paraId="18E3C454" w14:textId="77777777" w:rsidR="00F93BC6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74EF76CC" w14:textId="77777777" w:rsidR="00F93BC6" w:rsidRDefault="00F93BC6">
      <w:pPr>
        <w:pBdr>
          <w:bottom w:val="single" w:sz="3" w:space="0" w:color="1A7A6E"/>
        </w:pBdr>
        <w:spacing w:after="60"/>
      </w:pPr>
    </w:p>
    <w:p w14:paraId="21AD575D" w14:textId="77777777" w:rsidR="00F93BC6" w:rsidRDefault="00F93BC6">
      <w:pPr>
        <w:spacing w:after="120"/>
      </w:pPr>
    </w:p>
    <w:p w14:paraId="11FD49CE" w14:textId="77777777" w:rsidR="00F93BC6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1F3864"/>
        </w:rPr>
        <w:t>ASSESSMENT COLLECTION POLICY</w:t>
      </w:r>
    </w:p>
    <w:p w14:paraId="3D050E19" w14:textId="77777777" w:rsidR="00F93BC6" w:rsidRDefault="00000000">
      <w:pPr>
        <w:spacing w:after="60"/>
        <w:jc w:val="center"/>
      </w:pPr>
      <w:r>
        <w:rPr>
          <w:rFonts w:ascii="Arial" w:eastAsia="Arial" w:hAnsi="Arial" w:cs="Arial"/>
          <w:color w:val="111827"/>
          <w:sz w:val="18"/>
          <w:szCs w:val="18"/>
        </w:rPr>
        <w:t xml:space="preserve">Adopted by the Board: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18"/>
          <w:szCs w:val="18"/>
        </w:rPr>
        <w:t xml:space="preserve">  |  Effective: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5FA99A5" w14:textId="77777777" w:rsidR="00F93BC6" w:rsidRDefault="00F93BC6">
      <w:pPr>
        <w:spacing w:after="120"/>
      </w:pPr>
    </w:p>
    <w:p w14:paraId="79E50A22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This Assessment Collection Policy is adopted pursuant to Article IV, Section 8 of the Declaration and Texas Property Code § 209.023(c). It describes the Association's procedures for collecting delinquent assessments.</w:t>
      </w:r>
    </w:p>
    <w:p w14:paraId="62C2A738" w14:textId="77777777" w:rsidR="00F93BC6" w:rsidRDefault="00F93BC6">
      <w:pPr>
        <w:spacing w:after="120"/>
      </w:pPr>
    </w:p>
    <w:p w14:paraId="60960CB2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1 — Account Becomes Delinquent</w:t>
      </w:r>
    </w:p>
    <w:p w14:paraId="77720471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Any assessment not paid by its due date is immediately delinquent. Interest accrues at 10% per annum from the due date. An administrative fee of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is added to the account.</w:t>
      </w:r>
    </w:p>
    <w:p w14:paraId="6C2165F3" w14:textId="77777777" w:rsidR="00F93BC6" w:rsidRDefault="00F93BC6">
      <w:pPr>
        <w:spacing w:after="120"/>
      </w:pPr>
    </w:p>
    <w:p w14:paraId="585101B4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2 — Courtesy Reminder (Optional)</w:t>
      </w:r>
    </w:p>
    <w:p w14:paraId="36BB3BEB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Within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[NUMBER]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days of the due date, the Association may send an informal courtesy reminder. This step is optional and does not satisfy any statutory requirement.</w:t>
      </w:r>
    </w:p>
    <w:p w14:paraId="47F684EE" w14:textId="77777777" w:rsidR="00F93BC6" w:rsidRDefault="00F93BC6">
      <w:pPr>
        <w:spacing w:after="120"/>
      </w:pPr>
    </w:p>
    <w:p w14:paraId="57568124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3 — Payment Plan Offer (Required Before Lien)</w:t>
      </w:r>
    </w:p>
    <w:p w14:paraId="2CA52463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Association is required by Texas Property Code § 209.0093 and Article IV, Section 14 of the Declaration to offer a payment plan before filing any lien. The payment plan offer will be sent by certified mail and will allow payment over a minimum of 3 months.</w:t>
      </w:r>
    </w:p>
    <w:p w14:paraId="5671A96E" w14:textId="77777777" w:rsidR="00F93BC6" w:rsidRDefault="00F93BC6">
      <w:pPr>
        <w:spacing w:after="120"/>
      </w:pPr>
    </w:p>
    <w:p w14:paraId="617DB507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4 — Pre-Lien Notice (Required — Certified Mail)</w:t>
      </w:r>
    </w:p>
    <w:p w14:paraId="2E96C61B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Before filing an assessment lien, the Association must send written notice by certified mail, return receipt requested, pursuant to Texas Property Code § 209.023. That notice will include an itemized breakdown of all amounts owed, the payment deadline, the right to cure, and the right to request a payment plan.</w:t>
      </w:r>
    </w:p>
    <w:p w14:paraId="693AB73F" w14:textId="77777777" w:rsidR="00F93BC6" w:rsidRDefault="00F93BC6">
      <w:pPr>
        <w:spacing w:after="120"/>
      </w:pPr>
    </w:p>
    <w:p w14:paraId="0C94E9FF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5 — Assessment Lien Filing</w:t>
      </w:r>
    </w:p>
    <w:p w14:paraId="47E183A6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If the delinquency is not resolved within the cure period stated in the pre-lien notice, the Association may record an assessment lien in the Travis County Official Public Records. The lien includes all delinquent assessments, interest, administrative fees, and costs of collection.</w:t>
      </w:r>
    </w:p>
    <w:p w14:paraId="318450FF" w14:textId="77777777" w:rsidR="00F93BC6" w:rsidRDefault="00F93BC6">
      <w:pPr>
        <w:spacing w:after="120"/>
      </w:pPr>
    </w:p>
    <w:p w14:paraId="3C240A5F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Step 6 — Legal Action and Foreclosure</w:t>
      </w:r>
    </w:p>
    <w:p w14:paraId="4DAEC025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Association may file suit for a personal judgment against the owner for the delinquent amounts. Foreclosure of the assessment lien on a residential homestead is subject to the restrictions of Texas Property Code § 209.0091: the Association may not foreclose unless delinquent assessments (excluding interest and fees) exceed $2,500, and judicial foreclosure is required in most cases.</w:t>
      </w:r>
    </w:p>
    <w:p w14:paraId="440E18EB" w14:textId="77777777" w:rsidR="00F93BC6" w:rsidRDefault="00F93BC6">
      <w:pPr>
        <w:spacing w:after="120"/>
      </w:pPr>
    </w:p>
    <w:p w14:paraId="6BDEC22A" w14:textId="77777777" w:rsidR="00F93BC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Lien Release</w:t>
      </w:r>
    </w:p>
    <w:p w14:paraId="5BCBBA72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Upon receipt of full payment of all amounts secured by the lien, the Association shall record a lien release within 30 days and provide the owner with a copy.</w:t>
      </w:r>
    </w:p>
    <w:p w14:paraId="31BC848D" w14:textId="77777777" w:rsidR="00F93BC6" w:rsidRDefault="00F93BC6">
      <w:pPr>
        <w:spacing w:after="120"/>
      </w:pPr>
    </w:p>
    <w:p w14:paraId="2835E699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Questions about this policy may be directed 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[BOARD EMAIL / CONTACT]</w:t>
      </w:r>
    </w:p>
    <w:p w14:paraId="36DC3919" w14:textId="77777777" w:rsidR="00F93BC6" w:rsidRDefault="00F93BC6">
      <w:pPr>
        <w:spacing w:after="120"/>
      </w:pPr>
    </w:p>
    <w:p w14:paraId="398752CB" w14:textId="77777777" w:rsidR="00F93BC6" w:rsidRDefault="00F93BC6">
      <w:pPr>
        <w:spacing w:after="120"/>
      </w:pPr>
    </w:p>
    <w:p w14:paraId="17800001" w14:textId="77777777" w:rsidR="00F93BC6" w:rsidRDefault="00F93BC6">
      <w:pPr>
        <w:spacing w:after="120"/>
      </w:pPr>
    </w:p>
    <w:p w14:paraId="248CDA11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A967E64" w14:textId="77777777" w:rsidR="00F93BC6" w:rsidRDefault="00F93BC6">
      <w:pPr>
        <w:spacing w:after="120"/>
      </w:pPr>
    </w:p>
    <w:p w14:paraId="0A7B8F5C" w14:textId="77777777" w:rsidR="00F93BC6" w:rsidRDefault="00F93BC6">
      <w:pPr>
        <w:spacing w:after="120"/>
      </w:pPr>
    </w:p>
    <w:p w14:paraId="41376568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053A2E56" w14:textId="77777777" w:rsidR="00F93BC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24104DC5" w14:textId="77777777" w:rsidR="00F93BC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20843EB5" w14:textId="77777777" w:rsidR="00F93BC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C666BD1" w14:textId="77777777" w:rsidR="00F93BC6" w:rsidRDefault="00F93BC6">
      <w:pPr>
        <w:pageBreakBefore/>
      </w:pPr>
    </w:p>
    <w:sectPr w:rsidR="00F93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461863">
    <w:abstractNumId w:val="8"/>
  </w:num>
  <w:num w:numId="2" w16cid:durableId="1060977108">
    <w:abstractNumId w:val="6"/>
  </w:num>
  <w:num w:numId="3" w16cid:durableId="465969498">
    <w:abstractNumId w:val="5"/>
  </w:num>
  <w:num w:numId="4" w16cid:durableId="61488630">
    <w:abstractNumId w:val="4"/>
  </w:num>
  <w:num w:numId="5" w16cid:durableId="175774148">
    <w:abstractNumId w:val="7"/>
  </w:num>
  <w:num w:numId="6" w16cid:durableId="705838034">
    <w:abstractNumId w:val="3"/>
  </w:num>
  <w:num w:numId="7" w16cid:durableId="1460104730">
    <w:abstractNumId w:val="2"/>
  </w:num>
  <w:num w:numId="8" w16cid:durableId="1716998813">
    <w:abstractNumId w:val="1"/>
  </w:num>
  <w:num w:numId="9" w16cid:durableId="13063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CD"/>
    <w:rsid w:val="0015074B"/>
    <w:rsid w:val="001836B1"/>
    <w:rsid w:val="0029639D"/>
    <w:rsid w:val="00326F90"/>
    <w:rsid w:val="00AA1D8D"/>
    <w:rsid w:val="00B47730"/>
    <w:rsid w:val="00CB0664"/>
    <w:rsid w:val="00F93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A8861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2277</Characters>
  <Application>Microsoft Office Word</Application>
  <DocSecurity>0</DocSecurity>
  <Lines>66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2026-04-04T19:04:00Z</dcterms:modified>
  <cp:category/>
</cp:coreProperties>
</file>