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24D"/>
          <w:sz w:val="64"/>
        </w:rPr>
        <w:t>THE PEOPLE’S LEDGER</w:t>
      </w:r>
    </w:p>
    <w:p>
      <w:pPr>
        <w:jc w:val="center"/>
      </w:pPr>
      <w:r>
        <w:rPr>
          <w:rFonts w:ascii="Arial" w:hAnsi="Arial"/>
          <w:b/>
          <w:color w:val="2B6F9F"/>
          <w:sz w:val="38"/>
        </w:rPr>
        <w:t>Foundational Product and System Design</w:t>
      </w:r>
    </w:p>
    <w:p>
      <w:pPr>
        <w:spacing w:before="160"/>
        <w:jc w:val="center"/>
      </w:pPr>
      <w:r>
        <w:rPr>
          <w:rFonts w:ascii="Georgia" w:hAnsi="Georgia"/>
          <w:i/>
          <w:color w:val="24313A"/>
          <w:sz w:val="24"/>
        </w:rPr>
        <w:t>A public-interest platform for tracing how federal legislation changes law, money, benefits, burdens, and advantage</w:t>
      </w:r>
    </w:p>
    <w:p>
      <w:pPr>
        <w:spacing w:after="700"/>
      </w:pPr>
    </w:p>
    <w:tbl>
      <w:tblPr>
        <w:tblW w:type="auto" w:w="0"/>
        <w:jc w:val="center"/>
        <w:tblLayout w:type="fixed"/>
        <w:tblLook w:firstColumn="1" w:firstRow="1" w:lastColumn="0" w:lastRow="0" w:noHBand="0" w:noVBand="1" w:val="04A0"/>
        <w:tblBorders>
          <w:top w:val="single" w:sz="14" w:space="0" w:color="FFFFFF"/>
          <w:left w:val="single" w:sz="14" w:space="0" w:color="FFFFFF"/>
          <w:bottom w:val="single" w:sz="14" w:space="0" w:color="FFFFFF"/>
          <w:right w:val="single" w:sz="14" w:space="0" w:color="FFFFFF"/>
          <w:insideH w:val="single" w:sz="14" w:space="0" w:color="FFFFFF"/>
          <w:insideV w:val="single" w:sz="14" w:space="0" w:color="FFFFFF"/>
        </w:tblBorders>
      </w:tblPr>
      <w:tblGrid>
        <w:gridCol w:w="3293"/>
        <w:gridCol w:w="3293"/>
        <w:gridCol w:w="3293"/>
      </w:tblGrid>
      <w:tr>
        <w:trPr>
          <w:cantSplit/>
          <w:tblHeader w:val="true"/>
        </w:trPr>
        <w:tc>
          <w:tcPr>
            <w:tcW w:type="dxa" w:w="3168"/>
            <w:shd w:fill="EAF2F8"/>
            <w:tcMar>
              <w:top w:w="110" w:type="dxa"/>
              <w:start w:w="100" w:type="dxa"/>
              <w:bottom w:w="110" w:type="dxa"/>
              <w:end w:w="100" w:type="dxa"/>
            </w:tcMar>
          </w:tcPr>
          <w:p>
            <w:pPr>
              <w:jc w:val="center"/>
            </w:pPr>
            <w:r>
              <w:rPr>
                <w:rFonts w:ascii="Arial" w:hAnsi="Arial"/>
                <w:b/>
                <w:color w:val="17324D"/>
                <w:sz w:val="26"/>
              </w:rPr>
              <w:t>Evidence first</w:t>
            </w:r>
          </w:p>
          <w:p>
            <w:pPr>
              <w:jc w:val="center"/>
            </w:pPr>
            <w:r>
              <w:rPr>
                <w:rFonts w:ascii="Arial" w:hAnsi="Arial"/>
                <w:color w:val="24313A"/>
                <w:sz w:val="16"/>
              </w:rPr>
              <w:t>Every finding links to source language, data, assumptions, and reproducible calculations.</w:t>
            </w:r>
          </w:p>
        </w:tc>
        <w:tc>
          <w:tcPr>
            <w:tcW w:type="dxa" w:w="3168"/>
            <w:shd w:fill="E8F4F1"/>
            <w:tcMar>
              <w:top w:w="110" w:type="dxa"/>
              <w:start w:w="100" w:type="dxa"/>
              <w:bottom w:w="110" w:type="dxa"/>
              <w:end w:w="100" w:type="dxa"/>
            </w:tcMar>
          </w:tcPr>
          <w:p>
            <w:pPr>
              <w:jc w:val="center"/>
            </w:pPr>
            <w:r>
              <w:rPr>
                <w:rFonts w:ascii="Arial" w:hAnsi="Arial"/>
                <w:b/>
                <w:color w:val="2A8C82"/>
                <w:sz w:val="26"/>
              </w:rPr>
              <w:t>People centered</w:t>
            </w:r>
          </w:p>
          <w:p>
            <w:pPr>
              <w:jc w:val="center"/>
            </w:pPr>
            <w:r>
              <w:rPr>
                <w:rFonts w:ascii="Arial" w:hAnsi="Arial"/>
                <w:color w:val="24313A"/>
                <w:sz w:val="16"/>
              </w:rPr>
              <w:t>Show effects across household types, income groups, places, industries, and time.</w:t>
            </w:r>
          </w:p>
        </w:tc>
        <w:tc>
          <w:tcPr>
            <w:tcW w:type="dxa" w:w="3168"/>
            <w:shd w:fill="F8F0DF"/>
            <w:tcMar>
              <w:top w:w="110" w:type="dxa"/>
              <w:start w:w="100" w:type="dxa"/>
              <w:bottom w:w="110" w:type="dxa"/>
              <w:end w:w="100" w:type="dxa"/>
            </w:tcMar>
          </w:tcPr>
          <w:p>
            <w:pPr>
              <w:jc w:val="center"/>
            </w:pPr>
            <w:r>
              <w:rPr>
                <w:rFonts w:ascii="Arial" w:hAnsi="Arial"/>
                <w:b/>
                <w:color w:val="C28A2C"/>
                <w:sz w:val="26"/>
              </w:rPr>
              <w:t>Judgment separated</w:t>
            </w:r>
          </w:p>
          <w:p>
            <w:pPr>
              <w:jc w:val="center"/>
            </w:pPr>
            <w:r>
              <w:rPr>
                <w:rFonts w:ascii="Arial" w:hAnsi="Arial"/>
                <w:color w:val="24313A"/>
                <w:sz w:val="16"/>
              </w:rPr>
              <w:t>Distinguish facts, estimates, warning flags, analyst conclusions, and public commentary.</w:t>
            </w:r>
          </w:p>
        </w:tc>
      </w:tr>
    </w:tbl>
    <w:p>
      <w:pPr>
        <w:spacing w:after="560"/>
      </w:pPr>
    </w:p>
    <w:p>
      <w:pPr>
        <w:jc w:val="center"/>
      </w:pPr>
      <w:r>
        <w:rPr>
          <w:rFonts w:ascii="Arial" w:hAnsi="Arial"/>
          <w:b/>
          <w:color w:val="24313A"/>
          <w:sz w:val="20"/>
        </w:rPr>
        <w:t>Prepared as a core foundation for concept development</w:t>
      </w:r>
    </w:p>
    <w:p>
      <w:pPr>
        <w:jc w:val="center"/>
      </w:pPr>
      <w:r>
        <w:rPr>
          <w:rFonts w:ascii="Arial" w:hAnsi="Arial"/>
          <w:color w:val="697784"/>
          <w:sz w:val="18"/>
        </w:rPr>
        <w:t>Prepared for Dave Weilert  |  July 22, 2026  |  Version 0.3</w:t>
      </w:r>
    </w:p>
    <w:p>
      <w:pPr>
        <w:spacing w:after="560"/>
      </w:pPr>
    </w:p>
    <w:tbl>
      <w:tblPr>
        <w:tblW w:type="auto" w:w="0"/>
        <w:jc w:val="center"/>
        <w:tblLayout w:type="fixed"/>
        <w:tblLook w:firstColumn="1" w:firstRow="1" w:lastColumn="0" w:lastRow="0" w:noHBand="0" w:noVBand="1" w:val="04A0"/>
        <w:tblBorders>
          <w:top w:val="single" w:sz="10" w:space="0" w:color="697784"/>
          <w:left w:val="single" w:sz="10" w:space="0" w:color="697784"/>
          <w:bottom w:val="single" w:sz="10" w:space="0" w:color="697784"/>
          <w:right w:val="single" w:sz="10" w:space="0" w:color="697784"/>
          <w:insideH w:val="single" w:sz="10" w:space="0" w:color="697784"/>
          <w:insideV w:val="single" w:sz="10" w:space="0" w:color="697784"/>
        </w:tblBorders>
      </w:tblPr>
      <w:tblGrid>
        <w:gridCol w:w="9504"/>
      </w:tblGrid>
      <w:tr>
        <w:trPr>
          <w:cantSplit/>
          <w:tblHeader w:val="true"/>
        </w:trPr>
        <w:tc>
          <w:tcPr>
            <w:tcW w:type="dxa" w:w="9878"/>
            <w:shd w:fill="F3F5F7"/>
            <w:tcMar>
              <w:top w:w="130" w:type="dxa"/>
              <w:start w:w="170" w:type="dxa"/>
              <w:bottom w:w="130" w:type="dxa"/>
              <w:end w:w="170" w:type="dxa"/>
            </w:tcMar>
          </w:tcPr>
          <w:p>
            <w:pPr>
              <w:spacing w:after="80"/>
            </w:pPr>
            <w:r>
              <w:rPr>
                <w:rFonts w:ascii="Arial" w:hAnsi="Arial"/>
                <w:b/>
                <w:color w:val="697784"/>
                <w:sz w:val="22"/>
              </w:rPr>
              <w:t>Naming decision</w:t>
            </w:r>
          </w:p>
          <w:p>
            <w:pPr>
              <w:spacing w:after="0"/>
            </w:pPr>
            <w:r>
              <w:rPr>
                <w:rFonts w:ascii="Arial" w:hAnsi="Arial"/>
                <w:color w:val="24313A"/>
                <w:sz w:val="19"/>
              </w:rPr>
              <w:t>The public project and product name is The People’s Ledger. It replaces the former working name, The People’s OMB, to reduce possible confusion with the federal Office of Management and Budget. Trademark, domain, and general brand clearance remain prudent before public launch.</w:t>
            </w:r>
          </w:p>
        </w:tc>
      </w:tr>
    </w:tbl>
    <w:p>
      <w:r>
        <w:br w:type="page"/>
      </w:r>
    </w:p>
    <w:p>
      <w:bookmarkStart w:id="1" w:name="purpose"/>
      <w:pPr>
        <w:pStyle w:val="Heading1"/>
      </w:pPr>
      <w:r>
        <w:t>Document purpose and status</w:t>
      </w:r>
      <w:bookmarkEnd w:id="1"/>
    </w:p>
    <w:p>
      <w:pPr>
        <w:spacing w:after="120" w:line="259" w:lineRule="auto"/>
      </w:pPr>
      <w:r>
        <w:rPr>
          <w:rFonts w:ascii="Arial" w:hAnsi="Arial"/>
          <w:color w:val="24313A"/>
          <w:sz w:val="19"/>
        </w:rPr>
        <w:t>This document defines the product, analytical, technical, governance, and operating foundation for The People’s Ledger. It is intentionally broader than a software requirements specification and more concrete than a concept paper. It should guide product discovery, architecture, fundraising, partnerships, prototyping, and future detailed designs.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232"/>
            <w:shd w:fill="17324D"/>
            <w:tcMar>
              <w:top w:w="90" w:type="dxa"/>
              <w:start w:w="90" w:type="dxa"/>
              <w:bottom w:w="90" w:type="dxa"/>
              <w:end w:w="90" w:type="dxa"/>
            </w:tcMar>
            <w:vAlign w:val="center"/>
          </w:tcPr>
          <w:p>
            <w:pPr>
              <w:jc w:val="left"/>
            </w:pPr>
            <w:r>
              <w:rPr>
                <w:rFonts w:ascii="Arial" w:hAnsi="Arial"/>
                <w:b/>
                <w:color w:val="FFFFFF"/>
                <w:sz w:val="16"/>
              </w:rPr>
              <w:t>Field</w:t>
            </w:r>
          </w:p>
        </w:tc>
        <w:tc>
          <w:tcPr>
            <w:tcW w:type="dxa" w:w="7272"/>
            <w:shd w:fill="17324D"/>
            <w:tcMar>
              <w:top w:w="90" w:type="dxa"/>
              <w:start w:w="90" w:type="dxa"/>
              <w:bottom w:w="90" w:type="dxa"/>
              <w:end w:w="90" w:type="dxa"/>
            </w:tcMar>
            <w:vAlign w:val="center"/>
          </w:tcPr>
          <w:p>
            <w:pPr>
              <w:jc w:val="left"/>
            </w:pPr>
            <w:r>
              <w:rPr>
                <w:rFonts w:ascii="Arial" w:hAnsi="Arial"/>
                <w:b/>
                <w:color w:val="FFFFFF"/>
                <w:sz w:val="16"/>
              </w:rPr>
              <w:t>Value</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7"/>
              </w:rPr>
              <w:t>Document status</w:t>
            </w:r>
          </w:p>
        </w:tc>
        <w:tc>
          <w:tcPr>
            <w:tcW w:type="dxa" w:w="7272"/>
            <w:tcMar>
              <w:top w:w="75" w:type="dxa"/>
              <w:start w:w="85" w:type="dxa"/>
              <w:bottom w:w="75" w:type="dxa"/>
              <w:end w:w="85" w:type="dxa"/>
            </w:tcMar>
            <w:vAlign w:val="top"/>
          </w:tcPr>
          <w:p>
            <w:r>
              <w:t>Concept foundation - Version 0.3. Evidence, publication, automation, privacy, statutory-transformation, model-scenario, and perspective-governance principles are adopted for POC design.</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7"/>
              </w:rPr>
              <w:t>Primary audience</w:t>
            </w:r>
          </w:p>
        </w:tc>
        <w:tc>
          <w:tcPr>
            <w:tcW w:type="dxa" w:w="7272"/>
            <w:shd w:fill="F7F9FA"/>
            <w:tcMar>
              <w:top w:w="75" w:type="dxa"/>
              <w:start w:w="85" w:type="dxa"/>
              <w:bottom w:w="75" w:type="dxa"/>
              <w:end w:w="85" w:type="dxa"/>
            </w:tcMar>
            <w:vAlign w:val="top"/>
          </w:tcPr>
          <w:p>
            <w:pPr>
              <w:spacing w:after="0"/>
            </w:pPr>
            <w:r>
              <w:rPr>
                <w:rFonts w:ascii="Arial" w:hAnsi="Arial"/>
                <w:color w:val="24313A"/>
                <w:sz w:val="17"/>
              </w:rPr>
              <w:t>Founder, product leadership, policy analysts, economists, engineers, reviewers, funders, and civic partners.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7"/>
              </w:rPr>
              <w:t>Initial jurisdiction</w:t>
            </w:r>
          </w:p>
        </w:tc>
        <w:tc>
          <w:tcPr>
            <w:tcW w:type="dxa" w:w="7272"/>
            <w:tcMar>
              <w:top w:w="75" w:type="dxa"/>
              <w:start w:w="85" w:type="dxa"/>
              <w:bottom w:w="75" w:type="dxa"/>
              <w:end w:w="85" w:type="dxa"/>
            </w:tcMar>
            <w:vAlign w:val="top"/>
          </w:tcPr>
          <w:p>
            <w:pPr>
              <w:spacing w:after="0"/>
            </w:pPr>
            <w:r>
              <w:rPr>
                <w:rFonts w:ascii="Arial" w:hAnsi="Arial"/>
                <w:color w:val="24313A"/>
                <w:sz w:val="17"/>
              </w:rPr>
              <w:t>United States federal legislation, amendments, enacted laws, and selected implementing regulations.</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7"/>
              </w:rPr>
              <w:t>Initial analytical emphasis</w:t>
            </w:r>
          </w:p>
        </w:tc>
        <w:tc>
          <w:tcPr>
            <w:tcW w:type="dxa" w:w="7272"/>
            <w:shd w:fill="F7F9FA"/>
            <w:tcMar>
              <w:top w:w="75" w:type="dxa"/>
              <w:start w:w="85" w:type="dxa"/>
              <w:bottom w:w="75" w:type="dxa"/>
              <w:end w:w="85" w:type="dxa"/>
            </w:tcMar>
            <w:vAlign w:val="top"/>
          </w:tcPr>
          <w:p>
            <w:pPr>
              <w:spacing w:after="0"/>
            </w:pPr>
            <w:r>
              <w:rPr>
                <w:rFonts w:ascii="Arial" w:hAnsi="Arial"/>
                <w:color w:val="24313A"/>
                <w:sz w:val="17"/>
              </w:rPr>
              <w:t>Federal taxes, direct federal cash and in-kind benefits, health subsidies, retirement provisions, education finance, grants, and narrow or unusually targeted advantages.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7"/>
              </w:rPr>
              <w:t>Update discipline</w:t>
            </w:r>
          </w:p>
        </w:tc>
        <w:tc>
          <w:tcPr>
            <w:tcW w:type="dxa" w:w="7272"/>
            <w:tcMar>
              <w:top w:w="75" w:type="dxa"/>
              <w:start w:w="85" w:type="dxa"/>
              <w:bottom w:w="75" w:type="dxa"/>
              <w:end w:w="85" w:type="dxa"/>
            </w:tcMar>
            <w:vAlign w:val="top"/>
          </w:tcPr>
          <w:p>
            <w:pPr>
              <w:spacing w:after="0"/>
            </w:pPr>
            <w:r>
              <w:rPr>
                <w:rFonts w:ascii="Arial" w:hAnsi="Arial"/>
                <w:color w:val="24313A"/>
                <w:sz w:val="17"/>
              </w:rPr>
              <w:t>Version every methodology, model, source snapshot, and published report so historical findings remain reproducible.</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7"/>
              </w:rPr>
              <w:t>Out of scope for this version</w:t>
            </w:r>
          </w:p>
        </w:tc>
        <w:tc>
          <w:tcPr>
            <w:tcW w:type="dxa" w:w="7272"/>
            <w:shd w:fill="F7F9FA"/>
            <w:tcMar>
              <w:top w:w="75" w:type="dxa"/>
              <w:start w:w="85" w:type="dxa"/>
              <w:bottom w:w="75" w:type="dxa"/>
              <w:end w:w="85" w:type="dxa"/>
            </w:tcMar>
            <w:vAlign w:val="top"/>
          </w:tcPr>
          <w:p>
            <w:r>
              <w:t>Detailed UI specifications, final technology procurement, production cost estimate, legal entity formation, fundraising plan, and licensing/IP strategy.</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7"/>
              </w:rPr>
              <w:t>Public product name</w:t>
            </w:r>
          </w:p>
        </w:tc>
        <w:tc>
          <w:tcPr>
            <w:tcW w:type="dxa" w:w="7272"/>
            <w:shd w:fill="F7F9FA"/>
            <w:tcMar>
              <w:top w:w="75" w:type="dxa"/>
              <w:start w:w="85" w:type="dxa"/>
              <w:bottom w:w="75" w:type="dxa"/>
              <w:end w:w="85" w:type="dxa"/>
            </w:tcMar>
            <w:vAlign w:val="top"/>
          </w:tcPr>
          <w:p>
            <w:pPr>
              <w:spacing w:after="0"/>
            </w:pPr>
            <w:r>
              <w:rPr>
                <w:rFonts w:ascii="Arial" w:hAnsi="Arial"/>
                <w:color w:val="24313A"/>
                <w:sz w:val="17"/>
              </w:rPr>
              <w:t>The People’s Ledger; the former working name The People’s OMB is retained only in historical revision records.</w:t>
            </w:r>
          </w:p>
        </w:tc>
      </w:tr>
      <w:tr>
        <w:trPr>
          <w:cantSplit/>
        </w:trPr>
        <w:tc>
          <w:tcPr>
            <w:tcW w:type="dxa" w:w="2232"/>
            <w:shd w:fill="F7F9FA"/>
            <w:tcMar>
              <w:top w:w="75" w:type="dxa"/>
              <w:start w:w="85" w:type="dxa"/>
              <w:bottom w:w="75" w:type="dxa"/>
              <w:end w:w="85" w:type="dxa"/>
            </w:tcMar>
            <w:vAlign w:val="top"/>
          </w:tcPr>
          <w:p>
            <w:r>
              <w:t>Version 0.3 emphasis</w:t>
            </w:r>
          </w:p>
        </w:tc>
        <w:tc>
          <w:tcPr>
            <w:tcW w:type="dxa" w:w="7272"/>
            <w:shd w:fill="F7F9FA"/>
            <w:tcMar>
              <w:top w:w="75" w:type="dxa"/>
              <w:start w:w="85" w:type="dxa"/>
              <w:bottom w:w="75" w:type="dxa"/>
              <w:end w:w="85" w:type="dxa"/>
            </w:tcMar>
            <w:vAlign w:val="top"/>
          </w:tcPr>
          <w:p>
            <w:r>
              <w:t>Neutral public indicators; browser-local household calculations; hybrid deterministic/AI statute transformation; governed model scenarios separated from perspectives; tamper-evident AI decision provenance with controlled retention and disclosure.</w:t>
            </w:r>
          </w:p>
        </w:tc>
      </w:tr>
    </w:tbl>
    <w:p>
      <w:pPr>
        <w:pStyle w:val="Heading2"/>
      </w:pPr>
      <w:r>
        <w:t>Revision history</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3293"/>
        <w:gridCol w:w="3293"/>
        <w:gridCol w:w="3293"/>
      </w:tblGrid>
      <w:tr>
        <w:trPr>
          <w:tblHeader w:val="true"/>
          <w:cantSplit/>
        </w:trPr>
        <w:tc>
          <w:tcPr>
            <w:tcW w:type="dxa" w:w="1008"/>
            <w:vAlign w:val="top"/>
            <w:shd w:fill="17324D"/>
            <w:tcMar>
              <w:top w:w="90" w:type="dxa"/>
              <w:start w:w="90" w:type="dxa"/>
              <w:bottom w:w="90" w:type="dxa"/>
              <w:end w:w="90" w:type="dxa"/>
            </w:tcMar>
          </w:tcPr>
          <w:p>
            <w:pPr>
              <w:spacing w:after="0"/>
              <w:jc w:val="left"/>
            </w:pPr>
            <w:r/>
            <w:r>
              <w:rPr>
                <w:rFonts w:ascii="Arial" w:hAnsi="Arial"/>
                <w:b/>
                <w:color w:val="FFFFFF"/>
                <w:sz w:val="16"/>
              </w:rPr>
              <w:t>Version</w:t>
            </w:r>
          </w:p>
        </w:tc>
        <w:tc>
          <w:tcPr>
            <w:tcW w:type="dxa" w:w="1656"/>
            <w:vAlign w:val="top"/>
            <w:shd w:fill="17324D"/>
            <w:tcMar>
              <w:top w:w="90" w:type="dxa"/>
              <w:start w:w="90" w:type="dxa"/>
              <w:bottom w:w="90" w:type="dxa"/>
              <w:end w:w="90" w:type="dxa"/>
            </w:tcMar>
          </w:tcPr>
          <w:p>
            <w:pPr>
              <w:spacing w:after="0"/>
              <w:jc w:val="left"/>
            </w:pPr>
            <w:r/>
            <w:r>
              <w:rPr>
                <w:rFonts w:ascii="Arial" w:hAnsi="Arial"/>
                <w:b/>
                <w:color w:val="FFFFFF"/>
                <w:sz w:val="16"/>
              </w:rPr>
              <w:t>Date</w:t>
            </w:r>
          </w:p>
        </w:tc>
        <w:tc>
          <w:tcPr>
            <w:tcW w:type="dxa" w:w="7344"/>
            <w:vAlign w:val="top"/>
            <w:shd w:fill="17324D"/>
            <w:tcMar>
              <w:top w:w="90" w:type="dxa"/>
              <w:start w:w="90" w:type="dxa"/>
              <w:bottom w:w="90" w:type="dxa"/>
              <w:end w:w="90" w:type="dxa"/>
            </w:tcMar>
          </w:tcPr>
          <w:p>
            <w:pPr>
              <w:spacing w:after="0"/>
              <w:jc w:val="left"/>
            </w:pPr>
            <w:r/>
            <w:r>
              <w:rPr>
                <w:rFonts w:ascii="Arial" w:hAnsi="Arial"/>
                <w:b/>
                <w:color w:val="FFFFFF"/>
                <w:sz w:val="16"/>
              </w:rPr>
              <w:t>Material change</w:t>
            </w:r>
          </w:p>
        </w:tc>
      </w:tr>
      <w:tr>
        <w:trPr>
          <w:cantSplit/>
        </w:trPr>
        <w:tc>
          <w:tcPr>
            <w:tcW w:type="dxa" w:w="1008"/>
            <w:vAlign w:val="top"/>
            <w:tcMar>
              <w:top w:w="75" w:type="dxa"/>
              <w:start w:w="85" w:type="dxa"/>
              <w:bottom w:w="75" w:type="dxa"/>
              <w:end w:w="85" w:type="dxa"/>
            </w:tcMar>
          </w:tcPr>
          <w:p>
            <w:pPr>
              <w:spacing w:after="0"/>
              <w:jc w:val="left"/>
            </w:pPr>
            <w:r/>
            <w:r>
              <w:rPr>
                <w:rFonts w:ascii="Arial" w:hAnsi="Arial"/>
                <w:b w:val="0"/>
                <w:color w:val="24313A"/>
                <w:sz w:val="16"/>
              </w:rPr>
              <w:t>0.1</w:t>
            </w:r>
          </w:p>
        </w:tc>
        <w:tc>
          <w:tcPr>
            <w:tcW w:type="dxa" w:w="1656"/>
            <w:vAlign w:val="top"/>
            <w:tcMar>
              <w:top w:w="75" w:type="dxa"/>
              <w:start w:w="85" w:type="dxa"/>
              <w:bottom w:w="75" w:type="dxa"/>
              <w:end w:w="85" w:type="dxa"/>
            </w:tcMar>
          </w:tcPr>
          <w:p>
            <w:pPr>
              <w:spacing w:after="0"/>
              <w:jc w:val="left"/>
            </w:pPr>
            <w:r/>
            <w:r>
              <w:rPr>
                <w:rFonts w:ascii="Arial" w:hAnsi="Arial"/>
                <w:b w:val="0"/>
                <w:color w:val="24313A"/>
                <w:sz w:val="16"/>
              </w:rPr>
              <w:t>July 22, 2026</w:t>
            </w:r>
          </w:p>
        </w:tc>
        <w:tc>
          <w:tcPr>
            <w:tcW w:type="dxa" w:w="7344"/>
            <w:vAlign w:val="top"/>
            <w:tcMar>
              <w:top w:w="75" w:type="dxa"/>
              <w:start w:w="85" w:type="dxa"/>
              <w:bottom w:w="75" w:type="dxa"/>
              <w:end w:w="85" w:type="dxa"/>
            </w:tcMar>
          </w:tcPr>
          <w:p>
            <w:pPr>
              <w:spacing w:after="0"/>
              <w:jc w:val="left"/>
            </w:pPr>
            <w:r/>
            <w:r>
              <w:rPr>
                <w:rFonts w:ascii="Arial" w:hAnsi="Arial"/>
                <w:b w:val="0"/>
                <w:color w:val="24313A"/>
                <w:sz w:val="16"/>
              </w:rPr>
              <w:t>Initial foundational design created under the working name The People’s OMB.</w:t>
            </w:r>
          </w:p>
        </w:tc>
      </w:tr>
      <w:tr>
        <w:trPr>
          <w:cantSplit/>
        </w:trPr>
        <w:tc>
          <w:tcPr>
            <w:tcW w:type="dxa" w:w="1008"/>
            <w:vAlign w:val="top"/>
            <w:tcMar>
              <w:top w:w="75" w:type="dxa"/>
              <w:start w:w="85" w:type="dxa"/>
              <w:bottom w:w="75" w:type="dxa"/>
              <w:end w:w="85" w:type="dxa"/>
            </w:tcMar>
            <w:shd w:fill="F7F9FA"/>
          </w:tcPr>
          <w:p>
            <w:pPr>
              <w:spacing w:after="0"/>
              <w:jc w:val="left"/>
            </w:pPr>
            <w:r/>
            <w:r>
              <w:rPr>
                <w:rFonts w:ascii="Arial" w:hAnsi="Arial"/>
                <w:b w:val="0"/>
                <w:color w:val="24313A"/>
                <w:sz w:val="16"/>
              </w:rPr>
              <w:t>0.2</w:t>
            </w:r>
          </w:p>
        </w:tc>
        <w:tc>
          <w:tcPr>
            <w:tcW w:type="dxa" w:w="1656"/>
            <w:vAlign w:val="top"/>
            <w:tcMar>
              <w:top w:w="75" w:type="dxa"/>
              <w:start w:w="85" w:type="dxa"/>
              <w:bottom w:w="75" w:type="dxa"/>
              <w:end w:w="85" w:type="dxa"/>
            </w:tcMar>
            <w:shd w:fill="F7F9FA"/>
          </w:tcPr>
          <w:p>
            <w:pPr>
              <w:spacing w:after="0"/>
              <w:jc w:val="left"/>
            </w:pPr>
            <w:r/>
            <w:r>
              <w:rPr>
                <w:rFonts w:ascii="Arial" w:hAnsi="Arial"/>
                <w:b w:val="0"/>
                <w:color w:val="24313A"/>
                <w:sz w:val="16"/>
              </w:rPr>
              <w:t>July 22, 2026</w:t>
            </w:r>
          </w:p>
        </w:tc>
        <w:tc>
          <w:tcPr>
            <w:tcW w:type="dxa" w:w="7344"/>
            <w:vAlign w:val="top"/>
            <w:tcMar>
              <w:top w:w="75" w:type="dxa"/>
              <w:start w:w="85" w:type="dxa"/>
              <w:bottom w:w="75" w:type="dxa"/>
              <w:end w:w="85" w:type="dxa"/>
            </w:tcMar>
            <w:shd w:fill="F7F9FA"/>
          </w:tcPr>
          <w:p>
            <w:pPr>
              <w:spacing w:after="0"/>
              <w:jc w:val="left"/>
            </w:pPr>
            <w:r/>
            <w:r>
              <w:rPr>
                <w:rFonts w:ascii="Arial" w:hAnsi="Arial"/>
                <w:b w:val="0"/>
                <w:color w:val="24313A"/>
                <w:sz w:val="16"/>
              </w:rPr>
              <w:t>Renamed The People’s Ledger; added evidence maturity states, publication lanes, direct-federal POC scope, analysis units, interaction effects, AI Decision Ledger, automated assurance, risk-based review, legislative surge operations, perspective profiles, and the bounded manual exemplar strategy.</w:t>
            </w:r>
          </w:p>
        </w:tc>
      </w:tr>
      <w:tr>
        <w:tc>
          <w:tcPr>
            <w:tcW w:type="dxa" w:w="3293"/>
          </w:tcPr>
          <w:p>
            <w:r>
              <w:t>0.3</w:t>
            </w:r>
          </w:p>
        </w:tc>
        <w:tc>
          <w:tcPr>
            <w:tcW w:type="dxa" w:w="3293"/>
          </w:tcPr>
          <w:p>
            <w:r>
              <w:t>July 22, 2026</w:t>
            </w:r>
          </w:p>
        </w:tc>
        <w:tc>
          <w:tcPr>
            <w:tcW w:type="dxa" w:w="3293"/>
          </w:tcPr>
          <w:p>
            <w:r>
              <w:t>Accepted the Version 0.2 review recommendations with refinements: neutralized public indicator terminology; separated governed technical model scenarios from perspective profiles; mandated browser-local, no-transmission POC household calculations; added a hybrid deterministic/AI statutory transformation pipeline; strengthened AI Decision Ledger retention, redaction, and disclosure controls; addressed correlated multi-agent failure; and deferred licensing/IP strategy outside the active design.</w:t>
            </w:r>
          </w:p>
        </w:tc>
      </w:tr>
    </w:tbl>
    <w:p>
      <w:bookmarkStart w:id="2" w:name="contents"/>
      <w:pPr>
        <w:pStyle w:val="Heading1"/>
      </w:pPr>
      <w:r>
        <w:t>Contents</w:t>
      </w:r>
      <w:bookmarkEnd w:id="2"/>
    </w:p>
    <w:p>
      <w:pPr>
        <w:spacing w:after="60"/>
      </w:pPr>
      <w:r>
        <w:rPr>
          <w:rFonts w:ascii="Arial" w:hAnsi="Arial"/>
          <w:b/>
          <w:color w:val="17324D"/>
          <w:sz w:val="18"/>
        </w:rPr>
        <w:t xml:space="preserve">1  </w:t>
      </w:r>
      <w:hyperlink w:anchor="exec">
        <w:r>
          <w:rPr>
            <w:color w:val="2B6F9F"/>
            <w:u w:val="single"/>
          </w:rPr>
          <w:t>Executive summary</w:t>
        </w:r>
      </w:hyperlink>
    </w:p>
    <w:p>
      <w:pPr>
        <w:spacing w:after="60"/>
      </w:pPr>
      <w:r>
        <w:rPr>
          <w:rFonts w:ascii="Arial" w:hAnsi="Arial"/>
          <w:b/>
          <w:color w:val="17324D"/>
          <w:sz w:val="18"/>
        </w:rPr>
        <w:t xml:space="preserve">2  </w:t>
      </w:r>
      <w:hyperlink w:anchor="vision">
        <w:r>
          <w:rPr>
            <w:color w:val="2B6F9F"/>
            <w:u w:val="single"/>
          </w:rPr>
          <w:t>Vision, mission, and product principles</w:t>
        </w:r>
      </w:hyperlink>
    </w:p>
    <w:p>
      <w:pPr>
        <w:spacing w:after="60"/>
      </w:pPr>
      <w:r>
        <w:rPr>
          <w:rFonts w:ascii="Arial" w:hAnsi="Arial"/>
          <w:b/>
          <w:color w:val="17324D"/>
          <w:sz w:val="18"/>
        </w:rPr>
        <w:t xml:space="preserve">3  </w:t>
      </w:r>
      <w:hyperlink w:anchor="scope">
        <w:r>
          <w:rPr>
            <w:color w:val="2B6F9F"/>
            <w:u w:val="single"/>
          </w:rPr>
          <w:t>Scope, users, and user journeys</w:t>
        </w:r>
      </w:hyperlink>
    </w:p>
    <w:p>
      <w:pPr>
        <w:spacing w:after="60"/>
      </w:pPr>
      <w:r>
        <w:rPr>
          <w:rFonts w:ascii="Arial" w:hAnsi="Arial"/>
          <w:b/>
          <w:color w:val="17324D"/>
          <w:sz w:val="18"/>
        </w:rPr>
        <w:t xml:space="preserve">4  </w:t>
      </w:r>
      <w:hyperlink w:anchor="contract">
        <w:r>
          <w:rPr>
            <w:color w:val="2B6F9F"/>
            <w:u w:val="single"/>
          </w:rPr>
          <w:t>The analytical contract</w:t>
        </w:r>
      </w:hyperlink>
    </w:p>
    <w:p>
      <w:pPr>
        <w:spacing w:after="60"/>
      </w:pPr>
      <w:r>
        <w:rPr>
          <w:rFonts w:ascii="Arial" w:hAnsi="Arial"/>
          <w:b/>
          <w:color w:val="17324D"/>
          <w:sz w:val="18"/>
        </w:rPr>
        <w:t xml:space="preserve">5  </w:t>
      </w:r>
      <w:hyperlink w:anchor="experience">
        <w:r>
          <w:rPr>
            <w:color w:val="2B6F9F"/>
            <w:u w:val="single"/>
          </w:rPr>
          <w:t>Core product experiences</w:t>
        </w:r>
      </w:hyperlink>
    </w:p>
    <w:p>
      <w:pPr>
        <w:spacing w:after="60"/>
      </w:pPr>
      <w:r>
        <w:rPr>
          <w:rFonts w:ascii="Arial" w:hAnsi="Arial"/>
          <w:b/>
          <w:color w:val="17324D"/>
          <w:sz w:val="18"/>
        </w:rPr>
        <w:t xml:space="preserve">6  </w:t>
      </w:r>
      <w:hyperlink w:anchor="provision">
        <w:r>
          <w:rPr>
            <w:color w:val="2B6F9F"/>
            <w:u w:val="single"/>
          </w:rPr>
          <w:t>Legislative change and provision model</w:t>
        </w:r>
      </w:hyperlink>
    </w:p>
    <w:p>
      <w:pPr>
        <w:spacing w:after="60"/>
      </w:pPr>
      <w:r>
        <w:rPr>
          <w:rFonts w:ascii="Arial" w:hAnsi="Arial"/>
          <w:b/>
          <w:color w:val="17324D"/>
          <w:sz w:val="18"/>
        </w:rPr>
        <w:t xml:space="preserve">7  </w:t>
      </w:r>
      <w:hyperlink w:anchor="impact">
        <w:r>
          <w:rPr>
            <w:color w:val="2B6F9F"/>
            <w:u w:val="single"/>
          </w:rPr>
          <w:t>Public-impact modeling</w:t>
        </w:r>
      </w:hyperlink>
    </w:p>
    <w:p>
      <w:pPr>
        <w:spacing w:after="60"/>
      </w:pPr>
      <w:r>
        <w:t>8  Narrow-benefit and targeted-provision indicators</w:t>
      </w:r>
    </w:p>
    <w:p>
      <w:pPr>
        <w:spacing w:after="60"/>
      </w:pPr>
      <w:r>
        <w:rPr>
          <w:rFonts w:ascii="Arial" w:hAnsi="Arial"/>
          <w:b/>
          <w:color w:val="17324D"/>
          <w:sz w:val="18"/>
        </w:rPr>
        <w:t xml:space="preserve">9  </w:t>
      </w:r>
      <w:hyperlink w:anchor="ai">
        <w:r>
          <w:rPr>
            <w:color w:val="2B6F9F"/>
            <w:u w:val="single"/>
          </w:rPr>
          <w:t>AI role and guardrails</w:t>
        </w:r>
      </w:hyperlink>
    </w:p>
    <w:p>
      <w:pPr>
        <w:spacing w:after="60"/>
      </w:pPr>
      <w:r>
        <w:rPr>
          <w:rFonts w:ascii="Arial" w:hAnsi="Arial"/>
          <w:b/>
          <w:color w:val="17324D"/>
          <w:sz w:val="18"/>
        </w:rPr>
        <w:t xml:space="preserve">10  </w:t>
      </w:r>
      <w:hyperlink w:anchor="sources">
        <w:r>
          <w:rPr>
            <w:color w:val="2B6F9F"/>
            <w:u w:val="single"/>
          </w:rPr>
          <w:t>Data sources and provenance</w:t>
        </w:r>
      </w:hyperlink>
    </w:p>
    <w:p>
      <w:pPr>
        <w:spacing w:after="60"/>
      </w:pPr>
      <w:r>
        <w:rPr>
          <w:rFonts w:ascii="Arial" w:hAnsi="Arial"/>
          <w:b/>
          <w:color w:val="17324D"/>
          <w:sz w:val="18"/>
        </w:rPr>
        <w:t xml:space="preserve">11  </w:t>
      </w:r>
      <w:hyperlink w:anchor="architecture">
        <w:r>
          <w:rPr>
            <w:color w:val="2B6F9F"/>
            <w:u w:val="single"/>
          </w:rPr>
          <w:t>Reference architecture</w:t>
        </w:r>
      </w:hyperlink>
    </w:p>
    <w:p>
      <w:pPr>
        <w:spacing w:after="60"/>
      </w:pPr>
      <w:r>
        <w:rPr>
          <w:rFonts w:ascii="Arial" w:hAnsi="Arial"/>
          <w:b/>
          <w:color w:val="17324D"/>
          <w:sz w:val="18"/>
        </w:rPr>
        <w:t xml:space="preserve">12  </w:t>
      </w:r>
      <w:hyperlink w:anchor="data_model">
        <w:r>
          <w:rPr>
            <w:color w:val="2B6F9F"/>
            <w:u w:val="single"/>
          </w:rPr>
          <w:t>Data model and APIs</w:t>
        </w:r>
      </w:hyperlink>
    </w:p>
    <w:p>
      <w:pPr>
        <w:spacing w:after="60"/>
      </w:pPr>
      <w:r>
        <w:rPr>
          <w:rFonts w:ascii="Arial" w:hAnsi="Arial"/>
          <w:b/>
          <w:color w:val="17324D"/>
          <w:sz w:val="18"/>
        </w:rPr>
        <w:t xml:space="preserve">13  </w:t>
      </w:r>
      <w:hyperlink w:anchor="validation">
        <w:r>
          <w:rPr>
            <w:color w:val="2B6F9F"/>
            <w:u w:val="single"/>
          </w:rPr>
          <w:t>Validation and release controls</w:t>
        </w:r>
      </w:hyperlink>
    </w:p>
    <w:p>
      <w:pPr>
        <w:spacing w:after="60"/>
      </w:pPr>
      <w:r>
        <w:rPr>
          <w:rFonts w:ascii="Arial" w:hAnsi="Arial"/>
          <w:b/>
          <w:color w:val="17324D"/>
          <w:sz w:val="18"/>
        </w:rPr>
        <w:t xml:space="preserve">14  </w:t>
      </w:r>
      <w:hyperlink w:anchor="governance">
        <w:r>
          <w:rPr>
            <w:color w:val="2B6F9F"/>
            <w:u w:val="single"/>
          </w:rPr>
          <w:t>Governance, independence, and corrections</w:t>
        </w:r>
      </w:hyperlink>
    </w:p>
    <w:p>
      <w:pPr>
        <w:spacing w:after="60"/>
      </w:pPr>
      <w:r>
        <w:rPr>
          <w:rFonts w:ascii="Arial" w:hAnsi="Arial"/>
          <w:b/>
          <w:color w:val="17324D"/>
          <w:sz w:val="18"/>
        </w:rPr>
        <w:t xml:space="preserve">15  </w:t>
      </w:r>
      <w:hyperlink w:anchor="security">
        <w:r>
          <w:rPr>
            <w:color w:val="2B6F9F"/>
            <w:u w:val="single"/>
          </w:rPr>
          <w:t>Security, privacy, and accessibility</w:t>
        </w:r>
      </w:hyperlink>
    </w:p>
    <w:p>
      <w:pPr>
        <w:spacing w:after="60"/>
      </w:pPr>
      <w:r>
        <w:rPr>
          <w:rFonts w:ascii="Arial" w:hAnsi="Arial"/>
          <w:b/>
          <w:color w:val="17324D"/>
          <w:sz w:val="18"/>
        </w:rPr>
        <w:t xml:space="preserve">16  </w:t>
      </w:r>
      <w:hyperlink w:anchor="roadmap">
        <w:r>
          <w:rPr>
            <w:color w:val="2B6F9F"/>
            <w:u w:val="single"/>
          </w:rPr>
          <w:t>MVP and phased roadmap</w:t>
        </w:r>
      </w:hyperlink>
    </w:p>
    <w:p>
      <w:pPr>
        <w:spacing w:after="60"/>
      </w:pPr>
      <w:r>
        <w:rPr>
          <w:rFonts w:ascii="Arial" w:hAnsi="Arial"/>
          <w:b/>
          <w:color w:val="17324D"/>
          <w:sz w:val="18"/>
        </w:rPr>
        <w:t xml:space="preserve">17  </w:t>
      </w:r>
      <w:hyperlink w:anchor="operations">
        <w:r>
          <w:rPr>
            <w:color w:val="2B6F9F"/>
            <w:u w:val="single"/>
          </w:rPr>
          <w:t>Operating model, metrics, and risks</w:t>
        </w:r>
      </w:hyperlink>
    </w:p>
    <w:p>
      <w:pPr>
        <w:spacing w:after="60"/>
      </w:pPr>
      <w:r>
        <w:rPr>
          <w:rFonts w:ascii="Arial" w:hAnsi="Arial"/>
          <w:b/>
          <w:color w:val="17324D"/>
          <w:sz w:val="18"/>
        </w:rPr>
        <w:t xml:space="preserve">18  </w:t>
      </w:r>
      <w:hyperlink w:anchor="decisions">
        <w:r>
          <w:rPr>
            <w:color w:val="2B6F9F"/>
            <w:u w:val="single"/>
          </w:rPr>
          <w:t>Open decisions</w:t>
        </w:r>
      </w:hyperlink>
    </w:p>
    <w:p>
      <w:pPr>
        <w:spacing w:after="60"/>
      </w:pPr>
      <w:r>
        <w:t>Appendices  Schemas, taxonomies, source catalog, glossary, AI Decision Ledger, model scenarios, perspective profiles, and POC acceptance criteria</w:t>
      </w:r>
    </w:p>
    <w:p>
      <w:r>
        <w:br w:type="page"/>
      </w:r>
    </w:p>
    <w:p>
      <w:bookmarkStart w:id="10" w:name="exec"/>
      <w:pPr>
        <w:pStyle w:val="Heading1"/>
      </w:pPr>
      <w:r>
        <w:t>1. Executive summary</w:t>
      </w:r>
      <w:bookmarkEnd w:id="10"/>
    </w:p>
    <w:p>
      <w:pPr>
        <w:pStyle w:val="ExecutiveLead"/>
      </w:pPr>
      <w:r>
        <w:rPr>
          <w:b w:val="0"/>
        </w:rPr>
        <w:t>The People’s Ledger should become a trusted public evidence system that answers a deceptively simple question: What does this legislation actually change, who is likely to gain, lose, pay, qualify, or obtain an unusual advantage—and how would different, explicitly stated perspectives assess the same evidence?</w:t>
      </w:r>
    </w:p>
    <w:p>
      <w:pPr>
        <w:spacing w:after="120" w:line="259" w:lineRule="auto"/>
      </w:pPr>
      <w:r>
        <w:rPr>
          <w:rFonts w:ascii="Arial" w:hAnsi="Arial"/>
          <w:color w:val="24313A"/>
          <w:sz w:val="19"/>
        </w:rPr>
        <w:t>Today, official and independent sources provide bill text, budget estimates, tax distributions, benefit data, lobbying disclosures, campaign finance records, and federal spending information. The missing layer is a coherent, continuously updated system that links those sources at the provision level and explains the consequences in language ordinary people can verify.</w:t>
      </w:r>
    </w:p>
    <w:p>
      <w:pPr>
        <w:spacing w:after="120" w:line="259" w:lineRule="auto"/>
      </w:pPr>
      <w:r>
        <w:rPr>
          <w:rFonts w:ascii="Arial" w:hAnsi="Arial"/>
          <w:color w:val="24313A"/>
          <w:sz w:val="19"/>
        </w:rPr>
        <w:t>The platform should not claim to determine whether a law is “good,” “bad,” corrupt, or fair. Its role is to expose evidence, model measurable effects, identify patterns that deserve scrutiny, disclose uncertainty, and make every conclusion traceable. The product earns trust by refusing to blur text, arithmetic, assumptions, and opinion. For speed, automated provisional outputs may be published when controls pass; every material AI decision remains inspectable and risk-based review is applied where it matters most.</w:t>
      </w:r>
    </w:p>
    <w:p>
      <w:r>
        <w:drawing>
          <wp:inline xmlns:a="http://schemas.openxmlformats.org/drawingml/2006/main" xmlns:pic="http://schemas.openxmlformats.org/drawingml/2006/picture">
            <wp:extent cx="5897880" cy="2790366"/>
            <wp:docPr id="1" name="Picture 1" title="The People’s Ledger trust stack" descr="Four layers: authoritative evidence, reproducible analysis, explainable findings, and public understanding."/>
            <wp:cNvGraphicFramePr>
              <a:graphicFrameLocks noChangeAspect="1"/>
            </wp:cNvGraphicFramePr>
            <a:graphic>
              <a:graphicData uri="http://schemas.openxmlformats.org/drawingml/2006/picture">
                <pic:pic>
                  <pic:nvPicPr>
                    <pic:cNvPr id="0" name="trust_stack.png"/>
                    <pic:cNvPicPr/>
                  </pic:nvPicPr>
                  <pic:blipFill>
                    <a:blip r:embed="rId11"/>
                    <a:stretch>
                      <a:fillRect/>
                    </a:stretch>
                  </pic:blipFill>
                  <pic:spPr>
                    <a:xfrm>
                      <a:off x="0" y="0"/>
                      <a:ext cx="5897880" cy="2790366"/>
                    </a:xfrm>
                    <a:prstGeom prst="rect"/>
                  </pic:spPr>
                </pic:pic>
              </a:graphicData>
            </a:graphic>
          </wp:inline>
        </w:drawing>
      </w:r>
    </w:p>
    <w:p>
      <w:pPr>
        <w:pStyle w:val="Heading2"/>
      </w:pPr>
      <w:r>
        <w:t>Proposed foundational decisions</w:t>
      </w:r>
    </w:p>
    <w:p>
      <w:pPr>
        <w:pStyle w:val="ListBullet"/>
        <w:spacing w:after="60"/>
        <w:ind w:left="0"/>
      </w:pPr>
      <w:r>
        <w:rPr>
          <w:rFonts w:ascii="Arial" w:hAnsi="Arial"/>
          <w:color w:val="24313A"/>
        </w:rPr>
        <w:t>Use authoritative legislative text and official data as the evidentiary backbone; third-party research supplements but never silently replaces primary sources.</w:t>
      </w:r>
    </w:p>
    <w:p>
      <w:pPr>
        <w:pStyle w:val="ListBullet"/>
        <w:spacing w:after="60"/>
        <w:ind w:left="0"/>
      </w:pPr>
      <w:r>
        <w:rPr>
          <w:rFonts w:ascii="Arial" w:hAnsi="Arial"/>
          <w:color w:val="24313A"/>
        </w:rPr>
        <w:t>Make the provision—not merely the bill—the atomic unit of analysis. A single bill can contain hundreds of unrelated changes with different beneficiaries and effective dates.</w:t>
      </w:r>
    </w:p>
    <w:p>
      <w:pPr>
        <w:pStyle w:val="ListBullet"/>
        <w:spacing w:after="60"/>
        <w:ind w:left="0"/>
      </w:pPr>
      <w:r>
        <w:rPr>
          <w:rFonts w:ascii="Arial" w:hAnsi="Arial"/>
          <w:color w:val="24313A"/>
        </w:rPr>
        <w:t>Provide distributional results by income percentile, tax-unit and household type, not only statutory tax brackets.</w:t>
      </w:r>
    </w:p>
    <w:p>
      <w:pPr>
        <w:pStyle w:val="ListBullet"/>
        <w:spacing w:after="60"/>
        <w:ind w:left="0"/>
      </w:pPr>
      <w:r>
        <w:rPr>
          <w:rFonts w:ascii="Arial" w:hAnsi="Arial"/>
          <w:color w:val="24313A"/>
        </w:rPr>
        <w:t>Do not use one opaque “people score.” Publish multiple dimensions, assumptions, ranges, and confidence levels.</w:t>
      </w:r>
    </w:p>
    <w:p>
      <w:pPr>
        <w:pStyle w:val="ListBullet"/>
        <w:spacing w:after="60"/>
        <w:ind w:left="0"/>
      </w:pPr>
      <w:r>
        <w:t>Use neutral, observable public indicators such as narrow eligibility, retroactivity, income conversion, geographic targeting, definition-based advantage, or late insertion. Automated systems may not label a provision a “loophole”; that term is reserved for reviewed explanatory analysis meeting a documented evidence standard.</w:t>
      </w:r>
    </w:p>
    <w:p>
      <w:pPr>
        <w:pStyle w:val="ListBullet"/>
        <w:spacing w:after="60"/>
        <w:ind w:left="0"/>
      </w:pPr>
      <w:r>
        <w:rPr>
          <w:rFonts w:ascii="Arial" w:hAnsi="Arial"/>
          <w:color w:val="24313A"/>
        </w:rPr>
        <w:t>Use AI to accelerate extraction, matching, explanation, and anomaly detection; use deterministic code and validated models for calculations.</w:t>
      </w:r>
    </w:p>
    <w:p>
      <w:pPr>
        <w:pStyle w:val="ListBullet"/>
        <w:spacing w:after="60"/>
        <w:ind w:left="0"/>
      </w:pPr>
      <w:r>
        <w:t>Publish methodology, source traces, model identifiers, change logs, correction histories, and reproducibility packages sufficient to inspect public findings, subject to source rights, privacy, security, and later publication-policy decisions.</w:t>
      </w:r>
    </w:p>
    <w:p>
      <w:pPr>
        <w:pStyle w:val="ListBullet"/>
        <w:spacing w:after="60"/>
        <w:ind w:left="0"/>
      </w:pPr>
      <w:r>
        <w:rPr>
          <w:rFonts w:ascii="Arial" w:hAnsi="Arial"/>
          <w:color w:val="24313A"/>
        </w:rPr>
        <w:t>Begin with a narrow, high-value MVP focused on major tax and benefit legislation, then expand to appropriations, grants, regulations, and sector-specific indirect effects.</w:t>
      </w:r>
    </w:p>
    <w:p>
      <w:pPr>
        <w:pStyle w:val="ListBullet"/>
      </w:pPr>
      <w:r>
        <w:t>Publish through separate factual, provisional analytical, and verified impact lanes so useful evidence can appear quickly without overstating review maturity.</w:t>
      </w:r>
    </w:p>
    <w:p>
      <w:pPr>
        <w:pStyle w:val="ListBullet"/>
      </w:pPr>
      <w:r>
        <w:t>Record every material AI action in a tamper-evident AI Decision Ledger containing model, prompt-template identity, source hashes, governed model scenario, validators, risk score, publication state, review triggers, retention class, disclosure class, and supersession history.</w:t>
      </w:r>
    </w:p>
    <w:p>
      <w:pPr>
        <w:pStyle w:val="ListBullet"/>
      </w:pPr>
      <w:r>
        <w:t>Use automated controls, independent challenge agents, risk-based escalation, and random sampling to minimize routine human review while measuring undetected error.</w:t>
      </w:r>
    </w:p>
    <w:p>
      <w:pPr>
        <w:pStyle w:val="ListBullet"/>
      </w:pPr>
      <w:r>
        <w:t>Keep common evidence and the canonical base-scenario calculations invariant across viewpoints. Govern alternative technical scenarios separately from perspective profiles, and apply social, political, and economic differences only through explicit, versioned value and interpretation profiles shown side by side.</w:t>
      </w:r>
    </w:p>
    <w:p>
      <w:pPr>
        <w:pStyle w:val="Heading2"/>
      </w:pPr>
      <w:r>
        <w:t>Definition of success</w:t>
      </w:r>
    </w:p>
    <w:tbl>
      <w:tblPr>
        <w:tblW w:type="auto" w:w="0"/>
        <w:jc w:val="center"/>
        <w:tblLayout w:type="fixed"/>
        <w:tblLook w:firstColumn="1" w:firstRow="1" w:lastColumn="0" w:lastRow="0" w:noHBand="0" w:noVBand="1" w:val="04A0"/>
        <w:tblBorders>
          <w:top w:val="single" w:sz="14" w:space="0" w:color="FFFFFF"/>
          <w:left w:val="single" w:sz="14" w:space="0" w:color="FFFFFF"/>
          <w:bottom w:val="single" w:sz="14" w:space="0" w:color="FFFFFF"/>
          <w:right w:val="single" w:sz="14" w:space="0" w:color="FFFFFF"/>
          <w:insideH w:val="single" w:sz="14" w:space="0" w:color="FFFFFF"/>
          <w:insideV w:val="single" w:sz="14" w:space="0" w:color="FFFFFF"/>
        </w:tblBorders>
      </w:tblPr>
      <w:tblGrid>
        <w:gridCol w:w="3293"/>
        <w:gridCol w:w="3293"/>
        <w:gridCol w:w="3293"/>
      </w:tblGrid>
      <w:tr>
        <w:trPr>
          <w:cantSplit/>
          <w:tblHeader w:val="true"/>
        </w:trPr>
        <w:tc>
          <w:tcPr>
            <w:tcW w:type="dxa" w:w="3168"/>
            <w:shd w:fill="EAF2F8"/>
            <w:tcMar>
              <w:top w:w="110" w:type="dxa"/>
              <w:start w:w="100" w:type="dxa"/>
              <w:bottom w:w="110" w:type="dxa"/>
              <w:end w:w="100" w:type="dxa"/>
            </w:tcMar>
          </w:tcPr>
          <w:p>
            <w:pPr>
              <w:jc w:val="center"/>
            </w:pPr>
            <w:r>
              <w:rPr>
                <w:rFonts w:ascii="Arial" w:hAnsi="Arial"/>
                <w:b/>
                <w:color w:val="17324D"/>
                <w:sz w:val="26"/>
              </w:rPr>
              <w:t>Traceable</w:t>
            </w:r>
          </w:p>
          <w:p>
            <w:pPr>
              <w:jc w:val="center"/>
            </w:pPr>
            <w:r>
              <w:rPr>
                <w:rFonts w:ascii="Arial" w:hAnsi="Arial"/>
                <w:color w:val="24313A"/>
                <w:sz w:val="16"/>
              </w:rPr>
              <w:t>A reader can move from a headline finding to the exact bill language, model rule, data version, and reviewer decision.</w:t>
            </w:r>
          </w:p>
        </w:tc>
        <w:tc>
          <w:tcPr>
            <w:tcW w:type="dxa" w:w="3168"/>
            <w:shd w:fill="E8F4F1"/>
            <w:tcMar>
              <w:top w:w="110" w:type="dxa"/>
              <w:start w:w="100" w:type="dxa"/>
              <w:bottom w:w="110" w:type="dxa"/>
              <w:end w:w="100" w:type="dxa"/>
            </w:tcMar>
          </w:tcPr>
          <w:p>
            <w:pPr>
              <w:jc w:val="center"/>
            </w:pPr>
            <w:r>
              <w:rPr>
                <w:rFonts w:ascii="Arial" w:hAnsi="Arial"/>
                <w:b/>
                <w:color w:val="2A8C82"/>
                <w:sz w:val="26"/>
              </w:rPr>
              <w:t>Comparable</w:t>
            </w:r>
          </w:p>
          <w:p>
            <w:pPr>
              <w:jc w:val="center"/>
            </w:pPr>
            <w:r>
              <w:rPr>
                <w:rFonts w:ascii="Arial" w:hAnsi="Arial"/>
                <w:color w:val="24313A"/>
                <w:sz w:val="16"/>
              </w:rPr>
              <w:t>The same analytical dimensions apply across bill versions, enacted law, official scores, and household profiles.</w:t>
            </w:r>
          </w:p>
        </w:tc>
        <w:tc>
          <w:tcPr>
            <w:tcW w:type="dxa" w:w="3168"/>
            <w:shd w:fill="F8F0DF"/>
            <w:tcMar>
              <w:top w:w="110" w:type="dxa"/>
              <w:start w:w="100" w:type="dxa"/>
              <w:bottom w:w="110" w:type="dxa"/>
              <w:end w:w="100" w:type="dxa"/>
            </w:tcMar>
          </w:tcPr>
          <w:p>
            <w:pPr>
              <w:jc w:val="center"/>
            </w:pPr>
            <w:r>
              <w:rPr>
                <w:rFonts w:ascii="Arial" w:hAnsi="Arial"/>
                <w:b/>
                <w:color w:val="C28A2C"/>
                <w:sz w:val="26"/>
              </w:rPr>
              <w:t>Correctable</w:t>
            </w:r>
          </w:p>
          <w:p>
            <w:pPr>
              <w:jc w:val="center"/>
            </w:pPr>
            <w:r>
              <w:rPr>
                <w:rFonts w:ascii="Arial" w:hAnsi="Arial"/>
                <w:color w:val="24313A"/>
                <w:sz w:val="16"/>
              </w:rPr>
              <w:t>Errors are visible, versioned, promptly corrected, and never erased from the audit trail.</w:t>
            </w:r>
          </w:p>
        </w:tc>
      </w:tr>
    </w:tbl>
    <w:p>
      <w:bookmarkStart w:id="20" w:name="vision"/>
      <w:pPr>
        <w:pStyle w:val="Heading1"/>
      </w:pPr>
      <w:r>
        <w:t>2. Vision, mission, and product principles</w:t>
      </w:r>
      <w:bookmarkEnd w:id="20"/>
    </w:p>
    <w:p>
      <w:pPr>
        <w:pStyle w:val="Heading2"/>
      </w:pPr>
      <w:r>
        <w:t>Vision</w:t>
      </w:r>
    </w:p>
    <w:p>
      <w:pPr>
        <w:pStyle w:val="Quote"/>
      </w:pPr>
      <w:r>
        <w:t>Every person should be able to see how proposed federal law changes the rules of economic life—and to inspect the evidence behind the explanation.</w:t>
      </w:r>
    </w:p>
    <w:p>
      <w:pPr>
        <w:pStyle w:val="Heading2"/>
      </w:pPr>
      <w:r>
        <w:t>Mission</w:t>
      </w:r>
    </w:p>
    <w:p>
      <w:pPr>
        <w:spacing w:after="120" w:line="259" w:lineRule="auto"/>
      </w:pPr>
      <w:r>
        <w:rPr>
          <w:rFonts w:ascii="Arial" w:hAnsi="Arial"/>
          <w:color w:val="24313A"/>
          <w:sz w:val="19"/>
        </w:rPr>
        <w:t>Acquire and compare federal legislative text; convert legal changes into structured provisions; model direct and selected indirect effects; identify unusually targeted benefits or burdens; and publish transparent, nonpartisan evidence reports for the public.</w:t>
      </w:r>
    </w:p>
    <w:p>
      <w:pPr>
        <w:pStyle w:val="Heading2"/>
      </w:pPr>
      <w:r>
        <w:t>Product principles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520"/>
            <w:shd w:fill="17324D"/>
            <w:tcMar>
              <w:top w:w="90" w:type="dxa"/>
              <w:start w:w="90" w:type="dxa"/>
              <w:bottom w:w="90" w:type="dxa"/>
              <w:end w:w="90" w:type="dxa"/>
            </w:tcMar>
            <w:vAlign w:val="center"/>
          </w:tcPr>
          <w:p>
            <w:pPr>
              <w:jc w:val="left"/>
            </w:pPr>
            <w:r>
              <w:rPr>
                <w:rFonts w:ascii="Arial" w:hAnsi="Arial"/>
                <w:b/>
                <w:color w:val="FFFFFF"/>
                <w:sz w:val="16"/>
              </w:rPr>
              <w:t>Principle</w:t>
            </w:r>
          </w:p>
        </w:tc>
        <w:tc>
          <w:tcPr>
            <w:tcW w:type="dxa" w:w="6984"/>
            <w:shd w:fill="17324D"/>
            <w:tcMar>
              <w:top w:w="90" w:type="dxa"/>
              <w:start w:w="90" w:type="dxa"/>
              <w:bottom w:w="90" w:type="dxa"/>
              <w:end w:w="90" w:type="dxa"/>
            </w:tcMar>
            <w:vAlign w:val="center"/>
          </w:tcPr>
          <w:p>
            <w:pPr>
              <w:jc w:val="left"/>
            </w:pPr>
            <w:r>
              <w:rPr>
                <w:rFonts w:ascii="Arial" w:hAnsi="Arial"/>
                <w:b/>
                <w:color w:val="FFFFFF"/>
                <w:sz w:val="16"/>
              </w:rPr>
              <w:t>Design consequence</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6"/>
              </w:rPr>
              <w:t>Evidence before narrative</w:t>
            </w:r>
          </w:p>
        </w:tc>
        <w:tc>
          <w:tcPr>
            <w:tcW w:type="dxa" w:w="6984"/>
            <w:tcMar>
              <w:top w:w="75" w:type="dxa"/>
              <w:start w:w="85" w:type="dxa"/>
              <w:bottom w:w="75" w:type="dxa"/>
              <w:end w:w="85" w:type="dxa"/>
            </w:tcMar>
            <w:vAlign w:val="top"/>
          </w:tcPr>
          <w:p>
            <w:pPr>
              <w:spacing w:after="0"/>
            </w:pPr>
            <w:r>
              <w:rPr>
                <w:rFonts w:ascii="Arial" w:hAnsi="Arial"/>
                <w:color w:val="24313A"/>
                <w:sz w:val="16"/>
              </w:rPr>
              <w:t>The source text and calculation record exist before the summary or headline.</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6"/>
              </w:rPr>
              <w:t>Provision-level precision</w:t>
            </w:r>
          </w:p>
        </w:tc>
        <w:tc>
          <w:tcPr>
            <w:tcW w:type="dxa" w:w="6984"/>
            <w:shd w:fill="F7F9FA"/>
            <w:tcMar>
              <w:top w:w="75" w:type="dxa"/>
              <w:start w:w="85" w:type="dxa"/>
              <w:bottom w:w="75" w:type="dxa"/>
              <w:end w:w="85" w:type="dxa"/>
            </w:tcMar>
            <w:vAlign w:val="top"/>
          </w:tcPr>
          <w:p>
            <w:pPr>
              <w:spacing w:after="0"/>
            </w:pPr>
            <w:r>
              <w:rPr>
                <w:rFonts w:ascii="Arial" w:hAnsi="Arial"/>
                <w:color w:val="24313A"/>
                <w:sz w:val="16"/>
              </w:rPr>
              <w:t>No bill-level generalization should hide materially different provisions.</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6"/>
              </w:rPr>
              <w:t>Baseline clarity</w:t>
            </w:r>
          </w:p>
        </w:tc>
        <w:tc>
          <w:tcPr>
            <w:tcW w:type="dxa" w:w="6984"/>
            <w:tcMar>
              <w:top w:w="75" w:type="dxa"/>
              <w:start w:w="85" w:type="dxa"/>
              <w:bottom w:w="75" w:type="dxa"/>
              <w:end w:w="85" w:type="dxa"/>
            </w:tcMar>
            <w:vAlign w:val="top"/>
          </w:tcPr>
          <w:p>
            <w:pPr>
              <w:spacing w:after="0"/>
            </w:pPr>
            <w:r>
              <w:rPr>
                <w:rFonts w:ascii="Arial" w:hAnsi="Arial"/>
                <w:color w:val="24313A"/>
                <w:sz w:val="16"/>
              </w:rPr>
              <w:t>Every result states the version of current law, economic baseline, calendar years, and comparison scenario.</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6"/>
              </w:rPr>
              <w:t>Distribution, not averages</w:t>
            </w:r>
          </w:p>
        </w:tc>
        <w:tc>
          <w:tcPr>
            <w:tcW w:type="dxa" w:w="6984"/>
            <w:shd w:fill="F7F9FA"/>
            <w:tcMar>
              <w:top w:w="75" w:type="dxa"/>
              <w:start w:w="85" w:type="dxa"/>
              <w:bottom w:w="75" w:type="dxa"/>
              <w:end w:w="85" w:type="dxa"/>
            </w:tcMar>
            <w:vAlign w:val="top"/>
          </w:tcPr>
          <w:p>
            <w:pPr>
              <w:spacing w:after="0"/>
            </w:pPr>
            <w:r>
              <w:rPr>
                <w:rFonts w:ascii="Arial" w:hAnsi="Arial"/>
                <w:color w:val="24313A"/>
                <w:sz w:val="16"/>
              </w:rPr>
              <w:t>National averages can conceal large transfers among groups. Show the shape of effects.</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6"/>
              </w:rPr>
              <w:t>No unexplained numbers</w:t>
            </w:r>
          </w:p>
        </w:tc>
        <w:tc>
          <w:tcPr>
            <w:tcW w:type="dxa" w:w="6984"/>
            <w:tcMar>
              <w:top w:w="75" w:type="dxa"/>
              <w:start w:w="85" w:type="dxa"/>
              <w:bottom w:w="75" w:type="dxa"/>
              <w:end w:w="85" w:type="dxa"/>
            </w:tcMar>
            <w:vAlign w:val="top"/>
          </w:tcPr>
          <w:p>
            <w:pPr>
              <w:spacing w:after="0"/>
            </w:pPr>
            <w:r>
              <w:rPr>
                <w:rFonts w:ascii="Arial" w:hAnsi="Arial"/>
                <w:color w:val="24313A"/>
                <w:sz w:val="16"/>
              </w:rPr>
              <w:t>A published number must have a formula, model version, input data, units, and uncertainty treatment.</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6"/>
              </w:rPr>
              <w:t>Neutral warning language</w:t>
            </w:r>
          </w:p>
        </w:tc>
        <w:tc>
          <w:tcPr>
            <w:tcW w:type="dxa" w:w="6984"/>
            <w:shd w:fill="F7F9FA"/>
            <w:tcMar>
              <w:top w:w="75" w:type="dxa"/>
              <w:start w:w="85" w:type="dxa"/>
              <w:bottom w:w="75" w:type="dxa"/>
              <w:end w:w="85" w:type="dxa"/>
            </w:tcMar>
            <w:vAlign w:val="top"/>
          </w:tcPr>
          <w:p>
            <w:pPr>
              <w:spacing w:after="0"/>
            </w:pPr>
            <w:r>
              <w:rPr>
                <w:rFonts w:ascii="Arial" w:hAnsi="Arial"/>
                <w:color w:val="24313A"/>
                <w:sz w:val="16"/>
              </w:rPr>
              <w:t>Flags describe observable characteristics; accusations require documented human analysis.</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6"/>
              </w:rPr>
              <w:t>Human review proportional to risk</w:t>
            </w:r>
          </w:p>
        </w:tc>
        <w:tc>
          <w:tcPr>
            <w:tcW w:type="dxa" w:w="6984"/>
            <w:tcMar>
              <w:top w:w="75" w:type="dxa"/>
              <w:start w:w="85" w:type="dxa"/>
              <w:bottom w:w="75" w:type="dxa"/>
              <w:end w:w="85" w:type="dxa"/>
            </w:tcMar>
            <w:vAlign w:val="top"/>
          </w:tcPr>
          <w:p>
            <w:pPr>
              <w:spacing w:after="0"/>
            </w:pPr>
            <w:r>
              <w:rPr>
                <w:rFonts w:ascii="Arial" w:hAnsi="Arial"/>
                <w:color w:val="24313A"/>
                <w:sz w:val="16"/>
              </w:rPr>
              <w:t>The greater the impact, novelty, uncertainty, or reputational sensitivity, the stronger the required review.</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6"/>
              </w:rPr>
              <w:t>Open correction culture</w:t>
            </w:r>
          </w:p>
        </w:tc>
        <w:tc>
          <w:tcPr>
            <w:tcW w:type="dxa" w:w="6984"/>
            <w:shd w:fill="F7F9FA"/>
            <w:tcMar>
              <w:top w:w="75" w:type="dxa"/>
              <w:start w:w="85" w:type="dxa"/>
              <w:bottom w:w="75" w:type="dxa"/>
              <w:end w:w="85" w:type="dxa"/>
            </w:tcMar>
            <w:vAlign w:val="top"/>
          </w:tcPr>
          <w:p>
            <w:pPr>
              <w:spacing w:after="0"/>
            </w:pPr>
            <w:r>
              <w:rPr>
                <w:rFonts w:ascii="Arial" w:hAnsi="Arial"/>
                <w:color w:val="24313A"/>
                <w:sz w:val="16"/>
              </w:rPr>
              <w:t>Corrections improve credibility when they are prompt, explicit, and preserved.</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6"/>
              </w:rPr>
              <w:t>Accessible by default</w:t>
            </w:r>
          </w:p>
        </w:tc>
        <w:tc>
          <w:tcPr>
            <w:tcW w:type="dxa" w:w="6984"/>
            <w:tcMar>
              <w:top w:w="75" w:type="dxa"/>
              <w:start w:w="85" w:type="dxa"/>
              <w:bottom w:w="75" w:type="dxa"/>
              <w:end w:w="85" w:type="dxa"/>
            </w:tcMar>
            <w:vAlign w:val="top"/>
          </w:tcPr>
          <w:p>
            <w:pPr>
              <w:spacing w:after="0"/>
            </w:pPr>
            <w:r>
              <w:rPr>
                <w:rFonts w:ascii="Arial" w:hAnsi="Arial"/>
                <w:color w:val="24313A"/>
                <w:sz w:val="16"/>
              </w:rPr>
              <w:t>Plain language, keyboard navigation, screen-reader structure, color-independent meaning, and downloadable data are core requirements.</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6"/>
              </w:rPr>
              <w:t>Civic utility over engagement</w:t>
            </w:r>
          </w:p>
        </w:tc>
        <w:tc>
          <w:tcPr>
            <w:tcW w:type="dxa" w:w="6984"/>
            <w:shd w:fill="F7F9FA"/>
            <w:tcMar>
              <w:top w:w="75" w:type="dxa"/>
              <w:start w:w="85" w:type="dxa"/>
              <w:bottom w:w="75" w:type="dxa"/>
              <w:end w:w="85" w:type="dxa"/>
            </w:tcMar>
            <w:vAlign w:val="top"/>
          </w:tcPr>
          <w:p>
            <w:pPr>
              <w:spacing w:after="0"/>
            </w:pPr>
            <w:r>
              <w:rPr>
                <w:rFonts w:ascii="Arial" w:hAnsi="Arial"/>
                <w:color w:val="24313A"/>
                <w:sz w:val="16"/>
              </w:rPr>
              <w:t>Optimize for understanding and verification, not outrage, virality, or time-on-site.</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6"/>
              </w:rPr>
              <w:t>Automate production; preserve inspection</w:t>
            </w:r>
          </w:p>
        </w:tc>
        <w:tc>
          <w:tcPr>
            <w:tcW w:type="dxa" w:w="6984"/>
            <w:shd w:fill="F7F9FA"/>
            <w:tcMar>
              <w:top w:w="75" w:type="dxa"/>
              <w:start w:w="85" w:type="dxa"/>
              <w:bottom w:w="75" w:type="dxa"/>
              <w:end w:w="85" w:type="dxa"/>
            </w:tcMar>
            <w:vAlign w:val="top"/>
          </w:tcPr>
          <w:p>
            <w:pPr>
              <w:spacing w:after="0"/>
            </w:pPr>
            <w:r>
              <w:rPr>
                <w:rFonts w:ascii="Arial" w:hAnsi="Arial"/>
                <w:color w:val="24313A"/>
                <w:sz w:val="16"/>
              </w:rPr>
              <w:t>Routine work is machine-produced and automatically validated. Human attention is reserved for risk, novelty, disagreement, sampling, and consequential judgment.</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6"/>
              </w:rPr>
              <w:t>Perspective transparency</w:t>
            </w:r>
          </w:p>
        </w:tc>
        <w:tc>
          <w:tcPr>
            <w:tcW w:type="dxa" w:w="6984"/>
            <w:shd w:fill="F7F9FA"/>
            <w:tcMar>
              <w:top w:w="75" w:type="dxa"/>
              <w:start w:w="85" w:type="dxa"/>
              <w:bottom w:w="75" w:type="dxa"/>
              <w:end w:w="85" w:type="dxa"/>
            </w:tcMar>
            <w:vAlign w:val="top"/>
          </w:tcPr>
          <w:p>
            <w:r>
              <w:t>Value priorities and interpretive emphasis are explicit and versioned above a common evidence layer. Technical assumptions belong to governed model scenarios; no perspective may rewrite facts, deterministic results, or scenario parameters.</w:t>
            </w:r>
          </w:p>
        </w:tc>
      </w:tr>
    </w:tbl>
    <w:p>
      <w:pPr>
        <w:pStyle w:val="Heading2"/>
      </w:pPr>
      <w:r>
        <w:t>Terminology discipline</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1800"/>
            <w:shd w:fill="17324D"/>
            <w:tcMar>
              <w:top w:w="90" w:type="dxa"/>
              <w:start w:w="90" w:type="dxa"/>
              <w:bottom w:w="90" w:type="dxa"/>
              <w:end w:w="90" w:type="dxa"/>
            </w:tcMar>
            <w:vAlign w:val="center"/>
          </w:tcPr>
          <w:p>
            <w:pPr>
              <w:jc w:val="left"/>
            </w:pPr>
            <w:r>
              <w:rPr>
                <w:rFonts w:ascii="Arial" w:hAnsi="Arial"/>
                <w:b/>
                <w:color w:val="FFFFFF"/>
                <w:sz w:val="16"/>
              </w:rPr>
              <w:t>Term</w:t>
            </w:r>
          </w:p>
        </w:tc>
        <w:tc>
          <w:tcPr>
            <w:tcW w:type="dxa" w:w="7704"/>
            <w:shd w:fill="17324D"/>
            <w:tcMar>
              <w:top w:w="90" w:type="dxa"/>
              <w:start w:w="90" w:type="dxa"/>
              <w:bottom w:w="90" w:type="dxa"/>
              <w:end w:w="90" w:type="dxa"/>
            </w:tcMar>
            <w:vAlign w:val="center"/>
          </w:tcPr>
          <w:p>
            <w:pPr>
              <w:jc w:val="left"/>
            </w:pPr>
            <w:r>
              <w:rPr>
                <w:rFonts w:ascii="Arial" w:hAnsi="Arial"/>
                <w:b/>
                <w:color w:val="FFFFFF"/>
                <w:sz w:val="16"/>
              </w:rPr>
              <w:t>Use</w:t>
            </w:r>
          </w:p>
        </w:tc>
      </w:tr>
      <w:tr>
        <w:trPr>
          <w:cantSplit/>
        </w:trPr>
        <w:tc>
          <w:tcPr>
            <w:tcW w:type="dxa" w:w="1800"/>
            <w:tcMar>
              <w:top w:w="75" w:type="dxa"/>
              <w:start w:w="85" w:type="dxa"/>
              <w:bottom w:w="75" w:type="dxa"/>
              <w:end w:w="85" w:type="dxa"/>
            </w:tcMar>
            <w:vAlign w:val="top"/>
          </w:tcPr>
          <w:p>
            <w:pPr>
              <w:spacing w:after="0"/>
            </w:pPr>
            <w:r>
              <w:rPr>
                <w:rFonts w:ascii="Arial" w:hAnsi="Arial"/>
                <w:color w:val="24313A"/>
                <w:sz w:val="16"/>
              </w:rPr>
              <w:t>Fact</w:t>
            </w:r>
          </w:p>
        </w:tc>
        <w:tc>
          <w:tcPr>
            <w:tcW w:type="dxa" w:w="7704"/>
            <w:tcMar>
              <w:top w:w="75" w:type="dxa"/>
              <w:start w:w="85" w:type="dxa"/>
              <w:bottom w:w="75" w:type="dxa"/>
              <w:end w:w="85" w:type="dxa"/>
            </w:tcMar>
            <w:vAlign w:val="top"/>
          </w:tcPr>
          <w:p>
            <w:pPr>
              <w:spacing w:after="0"/>
            </w:pPr>
            <w:r>
              <w:rPr>
                <w:rFonts w:ascii="Arial" w:hAnsi="Arial"/>
                <w:color w:val="24313A"/>
                <w:sz w:val="16"/>
              </w:rPr>
              <w:t>A directly sourced statement about text, action, date, amount, sponsor, vote, or published dataset.</w:t>
            </w:r>
          </w:p>
        </w:tc>
      </w:tr>
      <w:tr>
        <w:trPr>
          <w:cantSplit/>
        </w:trPr>
        <w:tc>
          <w:tcPr>
            <w:tcW w:type="dxa" w:w="1800"/>
            <w:shd w:fill="F7F9FA"/>
            <w:tcMar>
              <w:top w:w="75" w:type="dxa"/>
              <w:start w:w="85" w:type="dxa"/>
              <w:bottom w:w="75" w:type="dxa"/>
              <w:end w:w="85" w:type="dxa"/>
            </w:tcMar>
            <w:vAlign w:val="top"/>
          </w:tcPr>
          <w:p>
            <w:pPr>
              <w:spacing w:after="0"/>
            </w:pPr>
            <w:r>
              <w:rPr>
                <w:rFonts w:ascii="Arial" w:hAnsi="Arial"/>
                <w:color w:val="24313A"/>
                <w:sz w:val="16"/>
              </w:rPr>
              <w:t>Estimate</w:t>
            </w:r>
          </w:p>
        </w:tc>
        <w:tc>
          <w:tcPr>
            <w:tcW w:type="dxa" w:w="7704"/>
            <w:shd w:fill="F7F9FA"/>
            <w:tcMar>
              <w:top w:w="75" w:type="dxa"/>
              <w:start w:w="85" w:type="dxa"/>
              <w:bottom w:w="75" w:type="dxa"/>
              <w:end w:w="85" w:type="dxa"/>
            </w:tcMar>
            <w:vAlign w:val="top"/>
          </w:tcPr>
          <w:p>
            <w:pPr>
              <w:spacing w:after="0"/>
            </w:pPr>
            <w:r>
              <w:rPr>
                <w:rFonts w:ascii="Arial" w:hAnsi="Arial"/>
                <w:color w:val="24313A"/>
                <w:sz w:val="16"/>
              </w:rPr>
              <w:t>A calculated result dependent on model structure, assumptions, baseline, or uncertain behavior.</w:t>
            </w:r>
          </w:p>
        </w:tc>
      </w:tr>
      <w:tr>
        <w:trPr>
          <w:cantSplit/>
        </w:trPr>
        <w:tc>
          <w:tcPr>
            <w:tcW w:type="dxa" w:w="1800"/>
            <w:tcMar>
              <w:top w:w="75" w:type="dxa"/>
              <w:start w:w="85" w:type="dxa"/>
              <w:bottom w:w="75" w:type="dxa"/>
              <w:end w:w="85" w:type="dxa"/>
            </w:tcMar>
            <w:vAlign w:val="top"/>
          </w:tcPr>
          <w:p>
            <w:pPr>
              <w:spacing w:after="0"/>
            </w:pPr>
            <w:r>
              <w:rPr>
                <w:rFonts w:ascii="Arial" w:hAnsi="Arial"/>
                <w:color w:val="24313A"/>
                <w:sz w:val="16"/>
              </w:rPr>
              <w:t>Flag</w:t>
            </w:r>
          </w:p>
        </w:tc>
        <w:tc>
          <w:tcPr>
            <w:tcW w:type="dxa" w:w="7704"/>
            <w:tcMar>
              <w:top w:w="75" w:type="dxa"/>
              <w:start w:w="85" w:type="dxa"/>
              <w:bottom w:w="75" w:type="dxa"/>
              <w:end w:w="85" w:type="dxa"/>
            </w:tcMar>
            <w:vAlign w:val="top"/>
          </w:tcPr>
          <w:p>
            <w:pPr>
              <w:spacing w:after="0"/>
            </w:pPr>
            <w:r>
              <w:rPr>
                <w:rFonts w:ascii="Arial" w:hAnsi="Arial"/>
                <w:color w:val="24313A"/>
                <w:sz w:val="16"/>
              </w:rPr>
              <w:t>A rule-based or model-assisted indication that a provision has a characteristic warranting attention.</w:t>
            </w:r>
          </w:p>
        </w:tc>
      </w:tr>
      <w:tr>
        <w:trPr>
          <w:cantSplit/>
        </w:trPr>
        <w:tc>
          <w:tcPr>
            <w:tcW w:type="dxa" w:w="1800"/>
            <w:shd w:fill="F7F9FA"/>
            <w:tcMar>
              <w:top w:w="75" w:type="dxa"/>
              <w:start w:w="85" w:type="dxa"/>
              <w:bottom w:w="75" w:type="dxa"/>
              <w:end w:w="85" w:type="dxa"/>
            </w:tcMar>
            <w:vAlign w:val="top"/>
          </w:tcPr>
          <w:p>
            <w:pPr>
              <w:spacing w:after="0"/>
            </w:pPr>
            <w:r>
              <w:rPr>
                <w:rFonts w:ascii="Arial" w:hAnsi="Arial"/>
                <w:color w:val="24313A"/>
                <w:sz w:val="16"/>
              </w:rPr>
              <w:t>Finding</w:t>
            </w:r>
          </w:p>
        </w:tc>
        <w:tc>
          <w:tcPr>
            <w:tcW w:type="dxa" w:w="7704"/>
            <w:shd w:fill="F7F9FA"/>
            <w:tcMar>
              <w:top w:w="75" w:type="dxa"/>
              <w:start w:w="85" w:type="dxa"/>
              <w:bottom w:w="75" w:type="dxa"/>
              <w:end w:w="85" w:type="dxa"/>
            </w:tcMar>
            <w:vAlign w:val="top"/>
          </w:tcPr>
          <w:p>
            <w:pPr>
              <w:spacing w:after="0"/>
            </w:pPr>
            <w:r>
              <w:rPr>
                <w:rFonts w:ascii="Arial" w:hAnsi="Arial"/>
                <w:color w:val="24313A"/>
                <w:sz w:val="16"/>
              </w:rPr>
              <w:t>An analyst-approved interpretation supported by facts, estimates, or flags.</w:t>
            </w:r>
          </w:p>
        </w:tc>
      </w:tr>
      <w:tr>
        <w:trPr>
          <w:cantSplit/>
        </w:trPr>
        <w:tc>
          <w:tcPr>
            <w:tcW w:type="dxa" w:w="1800"/>
            <w:tcMar>
              <w:top w:w="75" w:type="dxa"/>
              <w:start w:w="85" w:type="dxa"/>
              <w:bottom w:w="75" w:type="dxa"/>
              <w:end w:w="85" w:type="dxa"/>
            </w:tcMar>
            <w:vAlign w:val="top"/>
          </w:tcPr>
          <w:p>
            <w:pPr>
              <w:spacing w:after="0"/>
            </w:pPr>
            <w:r>
              <w:rPr>
                <w:rFonts w:ascii="Arial" w:hAnsi="Arial"/>
                <w:color w:val="24313A"/>
                <w:sz w:val="16"/>
              </w:rPr>
              <w:t>Opinion</w:t>
            </w:r>
          </w:p>
        </w:tc>
        <w:tc>
          <w:tcPr>
            <w:tcW w:type="dxa" w:w="7704"/>
            <w:tcMar>
              <w:top w:w="75" w:type="dxa"/>
              <w:start w:w="85" w:type="dxa"/>
              <w:bottom w:w="75" w:type="dxa"/>
              <w:end w:w="85" w:type="dxa"/>
            </w:tcMar>
            <w:vAlign w:val="top"/>
          </w:tcPr>
          <w:p>
            <w:pPr>
              <w:spacing w:after="0"/>
            </w:pPr>
            <w:r>
              <w:rPr>
                <w:rFonts w:ascii="Arial" w:hAnsi="Arial"/>
                <w:color w:val="24313A"/>
                <w:sz w:val="16"/>
              </w:rPr>
              <w:t>A value judgment or policy preference; if hosted, it must be visibly separated from platform analysis.</w:t>
            </w:r>
          </w:p>
        </w:tc>
      </w:tr>
      <w:tr>
        <w:trPr>
          <w:cantSplit/>
        </w:trPr>
        <w:tc>
          <w:tcPr>
            <w:tcW w:type="dxa" w:w="1800"/>
            <w:shd w:fill="F7F9FA"/>
            <w:tcMar>
              <w:top w:w="75" w:type="dxa"/>
              <w:start w:w="85" w:type="dxa"/>
              <w:bottom w:w="75" w:type="dxa"/>
              <w:end w:w="85" w:type="dxa"/>
            </w:tcMar>
            <w:vAlign w:val="top"/>
          </w:tcPr>
          <w:p>
            <w:r>
              <w:t>Reviewed loophole characterization</w:t>
            </w:r>
          </w:p>
        </w:tc>
        <w:tc>
          <w:tcPr>
            <w:tcW w:type="dxa" w:w="7704"/>
            <w:shd w:fill="F7F9FA"/>
            <w:tcMar>
              <w:top w:w="75" w:type="dxa"/>
              <w:start w:w="85" w:type="dxa"/>
              <w:bottom w:w="75" w:type="dxa"/>
              <w:end w:w="85" w:type="dxa"/>
            </w:tcMar>
            <w:vAlign w:val="top"/>
          </w:tcPr>
          <w:p>
            <w:r>
              <w:t>A non-automated explanatory conclusion that a legal path appears to defeat a documented policy purpose. It is not a public indicator category and requires the Section 8.3 evidence and review standard.</w:t>
            </w:r>
          </w:p>
        </w:tc>
      </w:tr>
      <w:tr>
        <w:trPr>
          <w:cantSplit/>
        </w:trPr>
        <w:tc>
          <w:tcPr>
            <w:tcW w:type="dxa" w:w="1800"/>
            <w:shd w:fill="F7F9FA"/>
            <w:tcMar>
              <w:top w:w="75" w:type="dxa"/>
              <w:start w:w="85" w:type="dxa"/>
              <w:bottom w:w="75" w:type="dxa"/>
              <w:end w:w="85" w:type="dxa"/>
            </w:tcMar>
            <w:vAlign w:val="top"/>
          </w:tcPr>
          <w:p>
            <w:pPr>
              <w:spacing w:after="0"/>
            </w:pPr>
            <w:r>
              <w:rPr>
                <w:rFonts w:ascii="Arial" w:hAnsi="Arial"/>
                <w:color w:val="24313A"/>
                <w:sz w:val="16"/>
              </w:rPr>
              <w:t>Publication state</w:t>
            </w:r>
          </w:p>
        </w:tc>
        <w:tc>
          <w:tcPr>
            <w:tcW w:type="dxa" w:w="7704"/>
            <w:shd w:fill="F7F9FA"/>
            <w:tcMar>
              <w:top w:w="75" w:type="dxa"/>
              <w:start w:w="85" w:type="dxa"/>
              <w:bottom w:w="75" w:type="dxa"/>
              <w:end w:w="85" w:type="dxa"/>
            </w:tcMar>
            <w:vAlign w:val="top"/>
          </w:tcPr>
          <w:p>
            <w:pPr>
              <w:spacing w:after="0"/>
            </w:pPr>
            <w:r>
              <w:rPr>
                <w:rFonts w:ascii="Arial" w:hAnsi="Arial"/>
                <w:color w:val="24313A"/>
                <w:sz w:val="16"/>
              </w:rPr>
              <w:t>A claim-level maturity status such as Source Verified, Machine Parsed, Provisional Analysis, Analyst Verified, Expert Reviewed, or Corrected/Superseded.</w:t>
            </w:r>
          </w:p>
        </w:tc>
      </w:tr>
      <w:tr>
        <w:trPr>
          <w:cantSplit/>
        </w:trPr>
        <w:tc>
          <w:tcPr>
            <w:tcW w:type="dxa" w:w="1800"/>
            <w:shd w:fill="F7F9FA"/>
            <w:tcMar>
              <w:top w:w="75" w:type="dxa"/>
              <w:start w:w="85" w:type="dxa"/>
              <w:bottom w:w="75" w:type="dxa"/>
              <w:end w:w="85" w:type="dxa"/>
            </w:tcMar>
            <w:vAlign w:val="top"/>
          </w:tcPr>
          <w:p>
            <w:pPr>
              <w:spacing w:after="0"/>
            </w:pPr>
            <w:r>
              <w:rPr>
                <w:rFonts w:ascii="Arial" w:hAnsi="Arial"/>
                <w:color w:val="24313A"/>
                <w:sz w:val="16"/>
              </w:rPr>
              <w:t>AI Decision Ledger</w:t>
            </w:r>
          </w:p>
        </w:tc>
        <w:tc>
          <w:tcPr>
            <w:tcW w:type="dxa" w:w="7704"/>
            <w:shd w:fill="F7F9FA"/>
            <w:tcMar>
              <w:top w:w="75" w:type="dxa"/>
              <w:start w:w="85" w:type="dxa"/>
              <w:bottom w:w="75" w:type="dxa"/>
              <w:end w:w="85" w:type="dxa"/>
            </w:tcMar>
            <w:vAlign w:val="top"/>
          </w:tcPr>
          <w:p>
            <w:r>
              <w:t>The tamper-evident, append-only decision-history record for AI instructions, evidence, outputs, validation, risk, publication, review, correction, retention, redaction, and supersession.</w:t>
            </w:r>
          </w:p>
        </w:tc>
      </w:tr>
      <w:tr>
        <w:trPr>
          <w:cantSplit/>
        </w:trPr>
        <w:tc>
          <w:tcPr>
            <w:tcW w:type="dxa" w:w="1800"/>
            <w:shd w:fill="F7F9FA"/>
            <w:tcMar>
              <w:top w:w="75" w:type="dxa"/>
              <w:start w:w="85" w:type="dxa"/>
              <w:bottom w:w="75" w:type="dxa"/>
              <w:end w:w="85" w:type="dxa"/>
            </w:tcMar>
            <w:vAlign w:val="top"/>
          </w:tcPr>
          <w:p>
            <w:pPr>
              <w:spacing w:after="0"/>
            </w:pPr>
            <w:r>
              <w:rPr>
                <w:rFonts w:ascii="Arial" w:hAnsi="Arial"/>
                <w:color w:val="24313A"/>
                <w:sz w:val="16"/>
              </w:rPr>
              <w:t>Perspective profile</w:t>
            </w:r>
          </w:p>
        </w:tc>
        <w:tc>
          <w:tcPr>
            <w:tcW w:type="dxa" w:w="7704"/>
            <w:shd w:fill="F7F9FA"/>
            <w:tcMar>
              <w:top w:w="75" w:type="dxa"/>
              <w:start w:w="85" w:type="dxa"/>
              <w:bottom w:w="75" w:type="dxa"/>
              <w:end w:w="85" w:type="dxa"/>
            </w:tcMar>
            <w:vAlign w:val="top"/>
          </w:tcPr>
          <w:p>
            <w:r>
              <w:t>A versioned set of value priorities, interpretive questions, reporting emphasis, sources, constraints, and limitations applied to invariant evidence and governed model-scenario outputs.</w:t>
            </w:r>
          </w:p>
        </w:tc>
      </w:tr>
      <w:tr>
        <w:tc>
          <w:tcPr>
            <w:tcW w:type="dxa" w:w="4939"/>
          </w:tcPr>
          <w:p>
            <w:r>
              <w:t>Model scenario</w:t>
            </w:r>
          </w:p>
        </w:tc>
        <w:tc>
          <w:tcPr>
            <w:tcW w:type="dxa" w:w="4939"/>
          </w:tcPr>
          <w:p>
            <w:r>
              <w:t>A governed, versioned technical assumption set defining baseline, data vintage, time horizon, incidence, behavioral response, discounting, financing treatment, and uncertainty. It is separate from a perspective profile.</w:t>
            </w:r>
          </w:p>
        </w:tc>
      </w:tr>
    </w:tbl>
    <w:p>
      <w:bookmarkStart w:id="30" w:name="scope"/>
      <w:pPr>
        <w:pStyle w:val="Heading1"/>
      </w:pPr>
      <w:r>
        <w:t>3. Scope, users, and user journeys</w:t>
      </w:r>
      <w:bookmarkEnd w:id="30"/>
    </w:p>
    <w:p>
      <w:pPr>
        <w:pStyle w:val="Heading2"/>
      </w:pPr>
      <w:r>
        <w:t>Initial scope</w:t>
      </w:r>
    </w:p>
    <w:p>
      <w:pPr>
        <w:spacing w:after="120" w:line="259" w:lineRule="auto"/>
      </w:pPr>
      <w:r>
        <w:rPr>
          <w:rFonts w:ascii="Arial" w:hAnsi="Arial"/>
          <w:color w:val="24313A"/>
          <w:sz w:val="19"/>
        </w:rPr>
        <w:t>The platform begins with federal legislation because the source systems are national, structured, and consequential. However, the architecture should preserve the possibility of later state and local editions.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4680"/>
            <w:shd w:fill="17324D"/>
            <w:tcMar>
              <w:top w:w="90" w:type="dxa"/>
              <w:start w:w="90" w:type="dxa"/>
              <w:bottom w:w="90" w:type="dxa"/>
              <w:end w:w="90" w:type="dxa"/>
            </w:tcMar>
            <w:vAlign w:val="center"/>
          </w:tcPr>
          <w:p>
            <w:pPr>
              <w:jc w:val="left"/>
            </w:pPr>
            <w:r>
              <w:rPr>
                <w:rFonts w:ascii="Arial" w:hAnsi="Arial"/>
                <w:b/>
                <w:color w:val="FFFFFF"/>
                <w:sz w:val="16"/>
              </w:rPr>
              <w:t>Included early</w:t>
            </w:r>
          </w:p>
        </w:tc>
        <w:tc>
          <w:tcPr>
            <w:tcW w:type="dxa" w:w="4824"/>
            <w:shd w:fill="17324D"/>
            <w:tcMar>
              <w:top w:w="90" w:type="dxa"/>
              <w:start w:w="90" w:type="dxa"/>
              <w:bottom w:w="90" w:type="dxa"/>
              <w:end w:w="90" w:type="dxa"/>
            </w:tcMar>
            <w:vAlign w:val="center"/>
          </w:tcPr>
          <w:p>
            <w:pPr>
              <w:jc w:val="left"/>
            </w:pPr>
            <w:r>
              <w:rPr>
                <w:rFonts w:ascii="Arial" w:hAnsi="Arial"/>
                <w:b/>
                <w:color w:val="FFFFFF"/>
                <w:sz w:val="16"/>
              </w:rPr>
              <w:t>Deferred or selective</w:t>
            </w:r>
          </w:p>
        </w:tc>
      </w:tr>
      <w:tr>
        <w:trPr>
          <w:cantSplit/>
        </w:trPr>
        <w:tc>
          <w:tcPr>
            <w:tcW w:type="dxa" w:w="4680"/>
            <w:tcMar>
              <w:top w:w="75" w:type="dxa"/>
              <w:start w:w="85" w:type="dxa"/>
              <w:bottom w:w="75" w:type="dxa"/>
              <w:end w:w="85" w:type="dxa"/>
            </w:tcMar>
            <w:vAlign w:val="top"/>
          </w:tcPr>
          <w:p>
            <w:pPr>
              <w:spacing w:after="0"/>
            </w:pPr>
            <w:r>
              <w:rPr>
                <w:rFonts w:ascii="Arial" w:hAnsi="Arial"/>
                <w:color w:val="24313A"/>
                <w:sz w:val="16"/>
              </w:rPr>
              <w:t>Introduced bills, reported bills, substitutes, engrossed/enrolled versions, amendments, conference text, and enacted law.</w:t>
            </w:r>
          </w:p>
        </w:tc>
        <w:tc>
          <w:tcPr>
            <w:tcW w:type="dxa" w:w="4824"/>
            <w:tcMar>
              <w:top w:w="75" w:type="dxa"/>
              <w:start w:w="85" w:type="dxa"/>
              <w:bottom w:w="75" w:type="dxa"/>
              <w:end w:w="85" w:type="dxa"/>
            </w:tcMar>
            <w:vAlign w:val="top"/>
          </w:tcPr>
          <w:p>
            <w:pPr>
              <w:spacing w:after="0"/>
            </w:pPr>
            <w:r>
              <w:rPr>
                <w:rFonts w:ascii="Arial" w:hAnsi="Arial"/>
                <w:color w:val="24313A"/>
                <w:sz w:val="16"/>
              </w:rPr>
              <w:t>Committee hearing transcripts, member statements, litigation outcomes, and all agency guidance.</w:t>
            </w:r>
          </w:p>
        </w:tc>
      </w:tr>
      <w:tr>
        <w:trPr>
          <w:cantSplit/>
        </w:trPr>
        <w:tc>
          <w:tcPr>
            <w:tcW w:type="dxa" w:w="4680"/>
            <w:shd w:fill="F7F9FA"/>
            <w:tcMar>
              <w:top w:w="75" w:type="dxa"/>
              <w:start w:w="85" w:type="dxa"/>
              <w:bottom w:w="75" w:type="dxa"/>
              <w:end w:w="85" w:type="dxa"/>
            </w:tcMar>
            <w:vAlign w:val="top"/>
          </w:tcPr>
          <w:p>
            <w:pPr>
              <w:spacing w:after="0"/>
            </w:pPr>
            <w:r>
              <w:rPr>
                <w:rFonts w:ascii="Arial" w:hAnsi="Arial"/>
                <w:color w:val="24313A"/>
                <w:sz w:val="16"/>
              </w:rPr>
              <w:t>Federal individual and business tax provisions with quantifiable rules.</w:t>
            </w:r>
          </w:p>
        </w:tc>
        <w:tc>
          <w:tcPr>
            <w:tcW w:type="dxa" w:w="4824"/>
            <w:shd w:fill="F7F9FA"/>
            <w:tcMar>
              <w:top w:w="75" w:type="dxa"/>
              <w:start w:w="85" w:type="dxa"/>
              <w:bottom w:w="75" w:type="dxa"/>
              <w:end w:w="85" w:type="dxa"/>
            </w:tcMar>
            <w:vAlign w:val="top"/>
          </w:tcPr>
          <w:p>
            <w:pPr>
              <w:spacing w:after="0"/>
            </w:pPr>
            <w:r>
              <w:rPr>
                <w:rFonts w:ascii="Arial" w:hAnsi="Arial"/>
                <w:color w:val="24313A"/>
                <w:sz w:val="16"/>
              </w:rPr>
              <w:t>Full general-equilibrium macroeconomic modeling for every proposal.</w:t>
            </w:r>
          </w:p>
        </w:tc>
      </w:tr>
      <w:tr>
        <w:trPr>
          <w:cantSplit/>
        </w:trPr>
        <w:tc>
          <w:tcPr>
            <w:tcW w:type="dxa" w:w="4680"/>
            <w:tcMar>
              <w:top w:w="75" w:type="dxa"/>
              <w:start w:w="85" w:type="dxa"/>
              <w:bottom w:w="75" w:type="dxa"/>
              <w:end w:w="85" w:type="dxa"/>
            </w:tcMar>
            <w:vAlign w:val="top"/>
          </w:tcPr>
          <w:p>
            <w:pPr>
              <w:spacing w:after="0"/>
            </w:pPr>
            <w:r>
              <w:rPr>
                <w:rFonts w:ascii="Arial" w:hAnsi="Arial"/>
                <w:color w:val="24313A"/>
                <w:sz w:val="16"/>
              </w:rPr>
              <w:t>Cash transfers, refundable credits, health subsidies, student aid/loans, retirement, and major eligibility changes.</w:t>
            </w:r>
          </w:p>
        </w:tc>
        <w:tc>
          <w:tcPr>
            <w:tcW w:type="dxa" w:w="4824"/>
            <w:tcMar>
              <w:top w:w="75" w:type="dxa"/>
              <w:start w:w="85" w:type="dxa"/>
              <w:bottom w:w="75" w:type="dxa"/>
              <w:end w:w="85" w:type="dxa"/>
            </w:tcMar>
            <w:vAlign w:val="top"/>
          </w:tcPr>
          <w:p>
            <w:pPr>
              <w:spacing w:after="0"/>
            </w:pPr>
            <w:r>
              <w:rPr>
                <w:rFonts w:ascii="Arial" w:hAnsi="Arial"/>
                <w:color w:val="24313A"/>
                <w:sz w:val="16"/>
              </w:rPr>
              <w:t>Every non-monetary civil, criminal, defense, foreign policy, or technical authorization effect.</w:t>
            </w:r>
          </w:p>
        </w:tc>
      </w:tr>
      <w:tr>
        <w:trPr>
          <w:cantSplit/>
        </w:trPr>
        <w:tc>
          <w:tcPr>
            <w:tcW w:type="dxa" w:w="4680"/>
            <w:shd w:fill="F7F9FA"/>
            <w:tcMar>
              <w:top w:w="75" w:type="dxa"/>
              <w:start w:w="85" w:type="dxa"/>
              <w:bottom w:w="75" w:type="dxa"/>
              <w:end w:w="85" w:type="dxa"/>
            </w:tcMar>
            <w:vAlign w:val="top"/>
          </w:tcPr>
          <w:p>
            <w:pPr>
              <w:spacing w:after="0"/>
            </w:pPr>
            <w:r>
              <w:rPr>
                <w:rFonts w:ascii="Arial" w:hAnsi="Arial"/>
                <w:color w:val="24313A"/>
                <w:sz w:val="16"/>
              </w:rPr>
              <w:t>Direct budgetary effects and official estimates where available.</w:t>
            </w:r>
          </w:p>
        </w:tc>
        <w:tc>
          <w:tcPr>
            <w:tcW w:type="dxa" w:w="4824"/>
            <w:shd w:fill="F7F9FA"/>
            <w:tcMar>
              <w:top w:w="75" w:type="dxa"/>
              <w:start w:w="85" w:type="dxa"/>
              <w:bottom w:w="75" w:type="dxa"/>
              <w:end w:w="85" w:type="dxa"/>
            </w:tcMar>
            <w:vAlign w:val="top"/>
          </w:tcPr>
          <w:p>
            <w:pPr>
              <w:spacing w:after="0"/>
            </w:pPr>
            <w:r>
              <w:rPr>
                <w:rFonts w:ascii="Arial" w:hAnsi="Arial"/>
                <w:color w:val="24313A"/>
                <w:sz w:val="16"/>
              </w:rPr>
              <w:t>Independent replacement of CBO or JCT scoring.</w:t>
            </w:r>
          </w:p>
        </w:tc>
      </w:tr>
      <w:tr>
        <w:trPr>
          <w:cantSplit/>
        </w:trPr>
        <w:tc>
          <w:tcPr>
            <w:tcW w:type="dxa" w:w="4680"/>
            <w:tcMar>
              <w:top w:w="75" w:type="dxa"/>
              <w:start w:w="85" w:type="dxa"/>
              <w:bottom w:w="75" w:type="dxa"/>
              <w:end w:w="85" w:type="dxa"/>
            </w:tcMar>
            <w:vAlign w:val="top"/>
          </w:tcPr>
          <w:p>
            <w:pPr>
              <w:spacing w:after="0"/>
            </w:pPr>
            <w:r>
              <w:rPr>
                <w:rFonts w:ascii="Arial" w:hAnsi="Arial"/>
                <w:color w:val="24313A"/>
                <w:sz w:val="16"/>
              </w:rPr>
              <w:t>Narrow-benefit indicators and influence-context links.</w:t>
            </w:r>
          </w:p>
        </w:tc>
        <w:tc>
          <w:tcPr>
            <w:tcW w:type="dxa" w:w="4824"/>
            <w:tcMar>
              <w:top w:w="75" w:type="dxa"/>
              <w:start w:w="85" w:type="dxa"/>
              <w:bottom w:w="75" w:type="dxa"/>
              <w:end w:w="85" w:type="dxa"/>
            </w:tcMar>
            <w:vAlign w:val="top"/>
          </w:tcPr>
          <w:p>
            <w:pPr>
              <w:spacing w:after="0"/>
            </w:pPr>
            <w:r>
              <w:rPr>
                <w:rFonts w:ascii="Arial" w:hAnsi="Arial"/>
                <w:color w:val="24313A"/>
                <w:sz w:val="16"/>
              </w:rPr>
              <w:t>Claims about motive, quid pro quo, illegality, or corruption without independent evidence.</w:t>
            </w:r>
          </w:p>
        </w:tc>
      </w:tr>
      <w:tr>
        <w:trPr>
          <w:cantSplit/>
        </w:trPr>
        <w:tc>
          <w:tcPr>
            <w:tcW w:type="dxa" w:w="4680"/>
            <w:shd w:fill="F7F9FA"/>
            <w:tcMar>
              <w:top w:w="75" w:type="dxa"/>
              <w:start w:w="85" w:type="dxa"/>
              <w:bottom w:w="75" w:type="dxa"/>
              <w:end w:w="85" w:type="dxa"/>
            </w:tcMar>
            <w:vAlign w:val="top"/>
          </w:tcPr>
          <w:p>
            <w:pPr>
              <w:spacing w:after="0"/>
            </w:pPr>
            <w:r>
              <w:rPr>
                <w:rFonts w:ascii="Arial" w:hAnsi="Arial"/>
                <w:color w:val="24313A"/>
                <w:sz w:val="16"/>
              </w:rPr>
              <w:t>Selected implementation rules and federal awards that clarify actual beneficiaries.</w:t>
            </w:r>
          </w:p>
        </w:tc>
        <w:tc>
          <w:tcPr>
            <w:tcW w:type="dxa" w:w="4824"/>
            <w:shd w:fill="F7F9FA"/>
            <w:tcMar>
              <w:top w:w="75" w:type="dxa"/>
              <w:start w:w="85" w:type="dxa"/>
              <w:bottom w:w="75" w:type="dxa"/>
              <w:end w:w="85" w:type="dxa"/>
            </w:tcMar>
            <w:vAlign w:val="top"/>
          </w:tcPr>
          <w:p>
            <w:pPr>
              <w:spacing w:after="0"/>
            </w:pPr>
            <w:r>
              <w:rPr>
                <w:rFonts w:ascii="Arial" w:hAnsi="Arial"/>
                <w:color w:val="24313A"/>
                <w:sz w:val="16"/>
              </w:rPr>
              <w:t>A complete regulatory tracking platform on day one.</w:t>
            </w:r>
          </w:p>
        </w:tc>
      </w:tr>
    </w:tbl>
    <w:p>
      <w:pPr>
        <w:pStyle w:val="Heading2"/>
      </w:pPr>
      <w:r>
        <w:t>Primary users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520"/>
            <w:shd w:fill="17324D"/>
            <w:tcMar>
              <w:top w:w="90" w:type="dxa"/>
              <w:start w:w="90" w:type="dxa"/>
              <w:bottom w:w="90" w:type="dxa"/>
              <w:end w:w="90" w:type="dxa"/>
            </w:tcMar>
            <w:vAlign w:val="center"/>
          </w:tcPr>
          <w:p>
            <w:pPr>
              <w:jc w:val="left"/>
            </w:pPr>
            <w:r>
              <w:rPr>
                <w:rFonts w:ascii="Arial" w:hAnsi="Arial"/>
                <w:b/>
                <w:color w:val="FFFFFF"/>
                <w:sz w:val="16"/>
              </w:rPr>
              <w:t>User</w:t>
            </w:r>
          </w:p>
        </w:tc>
        <w:tc>
          <w:tcPr>
            <w:tcW w:type="dxa" w:w="6984"/>
            <w:shd w:fill="17324D"/>
            <w:tcMar>
              <w:top w:w="90" w:type="dxa"/>
              <w:start w:w="90" w:type="dxa"/>
              <w:bottom w:w="90" w:type="dxa"/>
              <w:end w:w="90" w:type="dxa"/>
            </w:tcMar>
            <w:vAlign w:val="center"/>
          </w:tcPr>
          <w:p>
            <w:pPr>
              <w:jc w:val="left"/>
            </w:pPr>
            <w:r>
              <w:rPr>
                <w:rFonts w:ascii="Arial" w:hAnsi="Arial"/>
                <w:b/>
                <w:color w:val="FFFFFF"/>
                <w:sz w:val="16"/>
              </w:rPr>
              <w:t>Core need</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6"/>
              </w:rPr>
              <w:t>Citizen</w:t>
            </w:r>
          </w:p>
        </w:tc>
        <w:tc>
          <w:tcPr>
            <w:tcW w:type="dxa" w:w="6984"/>
            <w:tcMar>
              <w:top w:w="75" w:type="dxa"/>
              <w:start w:w="85" w:type="dxa"/>
              <w:bottom w:w="75" w:type="dxa"/>
              <w:end w:w="85" w:type="dxa"/>
            </w:tcMar>
            <w:vAlign w:val="top"/>
          </w:tcPr>
          <w:p>
            <w:pPr>
              <w:spacing w:after="0"/>
            </w:pPr>
            <w:r>
              <w:rPr>
                <w:rFonts w:ascii="Arial" w:hAnsi="Arial"/>
                <w:color w:val="24313A"/>
                <w:sz w:val="16"/>
              </w:rPr>
              <w:t>Understand how a bill may affect households like mine and see what changed between versions.</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6"/>
              </w:rPr>
              <w:t>Journalist</w:t>
            </w:r>
          </w:p>
        </w:tc>
        <w:tc>
          <w:tcPr>
            <w:tcW w:type="dxa" w:w="6984"/>
            <w:shd w:fill="F7F9FA"/>
            <w:tcMar>
              <w:top w:w="75" w:type="dxa"/>
              <w:start w:w="85" w:type="dxa"/>
              <w:bottom w:w="75" w:type="dxa"/>
              <w:end w:w="85" w:type="dxa"/>
            </w:tcMar>
            <w:vAlign w:val="top"/>
          </w:tcPr>
          <w:p>
            <w:pPr>
              <w:spacing w:after="0"/>
            </w:pPr>
            <w:r>
              <w:rPr>
                <w:rFonts w:ascii="Arial" w:hAnsi="Arial"/>
                <w:color w:val="24313A"/>
                <w:sz w:val="16"/>
              </w:rPr>
              <w:t>Identify material changes, late additions, unusual beneficiaries, and claims that need verification.</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6"/>
              </w:rPr>
              <w:t>Policy analyst / researcher</w:t>
            </w:r>
          </w:p>
        </w:tc>
        <w:tc>
          <w:tcPr>
            <w:tcW w:type="dxa" w:w="6984"/>
            <w:tcMar>
              <w:top w:w="75" w:type="dxa"/>
              <w:start w:w="85" w:type="dxa"/>
              <w:bottom w:w="75" w:type="dxa"/>
              <w:end w:w="85" w:type="dxa"/>
            </w:tcMar>
            <w:vAlign w:val="top"/>
          </w:tcPr>
          <w:p>
            <w:pPr>
              <w:spacing w:after="0"/>
            </w:pPr>
            <w:r>
              <w:rPr>
                <w:rFonts w:ascii="Arial" w:hAnsi="Arial"/>
                <w:color w:val="24313A"/>
                <w:sz w:val="16"/>
              </w:rPr>
              <w:t>Download structured provisions, assumptions, distributions, and reproducible results.</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6"/>
              </w:rPr>
              <w:t>Congressional or agency staff</w:t>
            </w:r>
          </w:p>
        </w:tc>
        <w:tc>
          <w:tcPr>
            <w:tcW w:type="dxa" w:w="6984"/>
            <w:shd w:fill="F7F9FA"/>
            <w:tcMar>
              <w:top w:w="75" w:type="dxa"/>
              <w:start w:w="85" w:type="dxa"/>
              <w:bottom w:w="75" w:type="dxa"/>
              <w:end w:w="85" w:type="dxa"/>
            </w:tcMar>
            <w:vAlign w:val="top"/>
          </w:tcPr>
          <w:p>
            <w:pPr>
              <w:spacing w:after="0"/>
            </w:pPr>
            <w:r>
              <w:rPr>
                <w:rFonts w:ascii="Arial" w:hAnsi="Arial"/>
                <w:color w:val="24313A"/>
                <w:sz w:val="16"/>
              </w:rPr>
              <w:t>Compare versions, test scenarios, and identify implementation or equity questions.</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6"/>
              </w:rPr>
              <w:t>Civic organization</w:t>
            </w:r>
          </w:p>
        </w:tc>
        <w:tc>
          <w:tcPr>
            <w:tcW w:type="dxa" w:w="6984"/>
            <w:tcMar>
              <w:top w:w="75" w:type="dxa"/>
              <w:start w:w="85" w:type="dxa"/>
              <w:bottom w:w="75" w:type="dxa"/>
              <w:end w:w="85" w:type="dxa"/>
            </w:tcMar>
            <w:vAlign w:val="top"/>
          </w:tcPr>
          <w:p>
            <w:pPr>
              <w:spacing w:after="0"/>
            </w:pPr>
            <w:r>
              <w:rPr>
                <w:rFonts w:ascii="Arial" w:hAnsi="Arial"/>
                <w:color w:val="24313A"/>
                <w:sz w:val="16"/>
              </w:rPr>
              <w:t>Explain legislation to members without creating a separate data and modeling stack.</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6"/>
              </w:rPr>
              <w:t>Educator / student</w:t>
            </w:r>
          </w:p>
        </w:tc>
        <w:tc>
          <w:tcPr>
            <w:tcW w:type="dxa" w:w="6984"/>
            <w:shd w:fill="F7F9FA"/>
            <w:tcMar>
              <w:top w:w="75" w:type="dxa"/>
              <w:start w:w="85" w:type="dxa"/>
              <w:bottom w:w="75" w:type="dxa"/>
              <w:end w:w="85" w:type="dxa"/>
            </w:tcMar>
            <w:vAlign w:val="top"/>
          </w:tcPr>
          <w:p>
            <w:pPr>
              <w:spacing w:after="0"/>
            </w:pPr>
            <w:r>
              <w:rPr>
                <w:rFonts w:ascii="Arial" w:hAnsi="Arial"/>
                <w:color w:val="24313A"/>
                <w:sz w:val="16"/>
              </w:rPr>
              <w:t>Learn how legislation changes current law and how policy estimates are constructed.</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6"/>
              </w:rPr>
              <w:t>Reviewer / subject expert</w:t>
            </w:r>
          </w:p>
        </w:tc>
        <w:tc>
          <w:tcPr>
            <w:tcW w:type="dxa" w:w="6984"/>
            <w:tcMar>
              <w:top w:w="75" w:type="dxa"/>
              <w:start w:w="85" w:type="dxa"/>
              <w:bottom w:w="75" w:type="dxa"/>
              <w:end w:w="85" w:type="dxa"/>
            </w:tcMar>
            <w:vAlign w:val="top"/>
          </w:tcPr>
          <w:p>
            <w:pPr>
              <w:spacing w:after="0"/>
            </w:pPr>
            <w:r>
              <w:rPr>
                <w:rFonts w:ascii="Arial" w:hAnsi="Arial"/>
                <w:color w:val="24313A"/>
                <w:sz w:val="16"/>
              </w:rPr>
              <w:t>Challenge a finding, inspect evidence, submit a correction, and document resolution.</w:t>
            </w:r>
          </w:p>
        </w:tc>
      </w:tr>
    </w:tbl>
    <w:p>
      <w:pPr>
        <w:pStyle w:val="Heading2"/>
      </w:pPr>
      <w:r>
        <w:t>Priority user journeys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952"/>
            <w:shd w:fill="17324D"/>
            <w:tcMar>
              <w:top w:w="90" w:type="dxa"/>
              <w:start w:w="90" w:type="dxa"/>
              <w:bottom w:w="90" w:type="dxa"/>
              <w:end w:w="90" w:type="dxa"/>
            </w:tcMar>
            <w:vAlign w:val="center"/>
          </w:tcPr>
          <w:p>
            <w:pPr>
              <w:jc w:val="left"/>
            </w:pPr>
            <w:r>
              <w:rPr>
                <w:rFonts w:ascii="Arial" w:hAnsi="Arial"/>
                <w:b/>
                <w:color w:val="FFFFFF"/>
                <w:sz w:val="16"/>
              </w:rPr>
              <w:t>Journey</w:t>
            </w:r>
          </w:p>
        </w:tc>
        <w:tc>
          <w:tcPr>
            <w:tcW w:type="dxa" w:w="6552"/>
            <w:shd w:fill="17324D"/>
            <w:tcMar>
              <w:top w:w="90" w:type="dxa"/>
              <w:start w:w="90" w:type="dxa"/>
              <w:bottom w:w="90" w:type="dxa"/>
              <w:end w:w="90" w:type="dxa"/>
            </w:tcMar>
            <w:vAlign w:val="center"/>
          </w:tcPr>
          <w:p>
            <w:pPr>
              <w:jc w:val="left"/>
            </w:pPr>
            <w:r>
              <w:rPr>
                <w:rFonts w:ascii="Arial" w:hAnsi="Arial"/>
                <w:b/>
                <w:color w:val="FFFFFF"/>
                <w:sz w:val="16"/>
              </w:rPr>
              <w:t>Expected result</w:t>
            </w:r>
          </w:p>
        </w:tc>
      </w:tr>
      <w:tr>
        <w:trPr>
          <w:cantSplit/>
        </w:trPr>
        <w:tc>
          <w:tcPr>
            <w:tcW w:type="dxa" w:w="2952"/>
            <w:tcMar>
              <w:top w:w="75" w:type="dxa"/>
              <w:start w:w="85" w:type="dxa"/>
              <w:bottom w:w="75" w:type="dxa"/>
              <w:end w:w="85" w:type="dxa"/>
            </w:tcMar>
            <w:vAlign w:val="top"/>
          </w:tcPr>
          <w:p>
            <w:pPr>
              <w:spacing w:after="0"/>
            </w:pPr>
            <w:r>
              <w:rPr>
                <w:rFonts w:ascii="Arial" w:hAnsi="Arial"/>
                <w:color w:val="24313A"/>
                <w:sz w:val="16"/>
              </w:rPr>
              <w:t>What changed overnight?</w:t>
            </w:r>
          </w:p>
        </w:tc>
        <w:tc>
          <w:tcPr>
            <w:tcW w:type="dxa" w:w="6552"/>
            <w:tcMar>
              <w:top w:w="75" w:type="dxa"/>
              <w:start w:w="85" w:type="dxa"/>
              <w:bottom w:w="75" w:type="dxa"/>
              <w:end w:w="85" w:type="dxa"/>
            </w:tcMar>
            <w:vAlign w:val="top"/>
          </w:tcPr>
          <w:p>
            <w:pPr>
              <w:spacing w:after="0"/>
            </w:pPr>
            <w:r>
              <w:rPr>
                <w:rFonts w:ascii="Arial" w:hAnsi="Arial"/>
                <w:color w:val="24313A"/>
                <w:sz w:val="16"/>
              </w:rPr>
              <w:t>A user opens a watched bill and sees new text, affected sections, newly added beneficiaries, deleted protections, and changed cost estimates.</w:t>
            </w:r>
          </w:p>
        </w:tc>
      </w:tr>
      <w:tr>
        <w:trPr>
          <w:cantSplit/>
        </w:trPr>
        <w:tc>
          <w:tcPr>
            <w:tcW w:type="dxa" w:w="2952"/>
            <w:shd w:fill="F7F9FA"/>
            <w:tcMar>
              <w:top w:w="75" w:type="dxa"/>
              <w:start w:w="85" w:type="dxa"/>
              <w:bottom w:w="75" w:type="dxa"/>
              <w:end w:w="85" w:type="dxa"/>
            </w:tcMar>
            <w:vAlign w:val="top"/>
          </w:tcPr>
          <w:p>
            <w:pPr>
              <w:spacing w:after="0"/>
            </w:pPr>
            <w:r>
              <w:rPr>
                <w:rFonts w:ascii="Arial" w:hAnsi="Arial"/>
                <w:color w:val="24313A"/>
                <w:sz w:val="16"/>
              </w:rPr>
              <w:t>How does it affect people like me?</w:t>
            </w:r>
          </w:p>
        </w:tc>
        <w:tc>
          <w:tcPr>
            <w:tcW w:type="dxa" w:w="6552"/>
            <w:shd w:fill="F7F9FA"/>
            <w:tcMar>
              <w:top w:w="75" w:type="dxa"/>
              <w:start w:w="85" w:type="dxa"/>
              <w:bottom w:w="75" w:type="dxa"/>
              <w:end w:w="85" w:type="dxa"/>
            </w:tcMar>
            <w:vAlign w:val="top"/>
          </w:tcPr>
          <w:p>
            <w:pPr>
              <w:spacing w:after="0"/>
            </w:pPr>
            <w:r>
              <w:rPr>
                <w:rFonts w:ascii="Arial" w:hAnsi="Arial"/>
                <w:color w:val="24313A"/>
                <w:sz w:val="16"/>
              </w:rPr>
              <w:t>A user selects household characteristics and receives a range of direct federal tax and benefit effects, with clear limitations.</w:t>
            </w:r>
          </w:p>
        </w:tc>
      </w:tr>
      <w:tr>
        <w:trPr>
          <w:cantSplit/>
        </w:trPr>
        <w:tc>
          <w:tcPr>
            <w:tcW w:type="dxa" w:w="2952"/>
            <w:tcMar>
              <w:top w:w="75" w:type="dxa"/>
              <w:start w:w="85" w:type="dxa"/>
              <w:bottom w:w="75" w:type="dxa"/>
              <w:end w:w="85" w:type="dxa"/>
            </w:tcMar>
            <w:vAlign w:val="top"/>
          </w:tcPr>
          <w:p>
            <w:pPr>
              <w:spacing w:after="0"/>
            </w:pPr>
            <w:r>
              <w:rPr>
                <w:rFonts w:ascii="Arial" w:hAnsi="Arial"/>
                <w:color w:val="24313A"/>
                <w:sz w:val="16"/>
              </w:rPr>
              <w:t>Who is unusually advantaged?</w:t>
            </w:r>
          </w:p>
        </w:tc>
        <w:tc>
          <w:tcPr>
            <w:tcW w:type="dxa" w:w="6552"/>
            <w:tcMar>
              <w:top w:w="75" w:type="dxa"/>
              <w:start w:w="85" w:type="dxa"/>
              <w:bottom w:w="75" w:type="dxa"/>
              <w:end w:w="85" w:type="dxa"/>
            </w:tcMar>
            <w:vAlign w:val="top"/>
          </w:tcPr>
          <w:p>
            <w:pPr>
              <w:spacing w:after="0"/>
            </w:pPr>
            <w:r>
              <w:rPr>
                <w:rFonts w:ascii="Arial" w:hAnsi="Arial"/>
                <w:color w:val="24313A"/>
                <w:sz w:val="16"/>
              </w:rPr>
              <w:t>A journalist filters provisions flagged for narrow eligibility, retroactivity, entity-form conversion, geographic specificity, or late insertion.</w:t>
            </w:r>
          </w:p>
        </w:tc>
      </w:tr>
      <w:tr>
        <w:trPr>
          <w:cantSplit/>
        </w:trPr>
        <w:tc>
          <w:tcPr>
            <w:tcW w:type="dxa" w:w="2952"/>
            <w:shd w:fill="F7F9FA"/>
            <w:tcMar>
              <w:top w:w="75" w:type="dxa"/>
              <w:start w:w="85" w:type="dxa"/>
              <w:bottom w:w="75" w:type="dxa"/>
              <w:end w:w="85" w:type="dxa"/>
            </w:tcMar>
            <w:vAlign w:val="top"/>
          </w:tcPr>
          <w:p>
            <w:pPr>
              <w:spacing w:after="0"/>
            </w:pPr>
            <w:r>
              <w:rPr>
                <w:rFonts w:ascii="Arial" w:hAnsi="Arial"/>
                <w:color w:val="24313A"/>
                <w:sz w:val="16"/>
              </w:rPr>
              <w:t>Can I verify the claim?</w:t>
            </w:r>
          </w:p>
        </w:tc>
        <w:tc>
          <w:tcPr>
            <w:tcW w:type="dxa" w:w="6552"/>
            <w:shd w:fill="F7F9FA"/>
            <w:tcMar>
              <w:top w:w="75" w:type="dxa"/>
              <w:start w:w="85" w:type="dxa"/>
              <w:bottom w:w="75" w:type="dxa"/>
              <w:end w:w="85" w:type="dxa"/>
            </w:tcMar>
            <w:vAlign w:val="top"/>
          </w:tcPr>
          <w:p>
            <w:pPr>
              <w:spacing w:after="0"/>
            </w:pPr>
            <w:r>
              <w:rPr>
                <w:rFonts w:ascii="Arial" w:hAnsi="Arial"/>
                <w:color w:val="24313A"/>
                <w:sz w:val="16"/>
              </w:rPr>
              <w:t>A reader expands a finding to view exact text, prior text, model rule, source data, calculations, and reviewer history.</w:t>
            </w:r>
          </w:p>
        </w:tc>
      </w:tr>
      <w:tr>
        <w:trPr>
          <w:cantSplit/>
        </w:trPr>
        <w:tc>
          <w:tcPr>
            <w:tcW w:type="dxa" w:w="2952"/>
            <w:tcMar>
              <w:top w:w="75" w:type="dxa"/>
              <w:start w:w="85" w:type="dxa"/>
              <w:bottom w:w="75" w:type="dxa"/>
              <w:end w:w="85" w:type="dxa"/>
            </w:tcMar>
            <w:vAlign w:val="top"/>
          </w:tcPr>
          <w:p>
            <w:pPr>
              <w:spacing w:after="0"/>
            </w:pPr>
            <w:r>
              <w:rPr>
                <w:rFonts w:ascii="Arial" w:hAnsi="Arial"/>
                <w:color w:val="24313A"/>
                <w:sz w:val="16"/>
              </w:rPr>
              <w:t>What do credible models disagree about?</w:t>
            </w:r>
          </w:p>
        </w:tc>
        <w:tc>
          <w:tcPr>
            <w:tcW w:type="dxa" w:w="6552"/>
            <w:tcMar>
              <w:top w:w="75" w:type="dxa"/>
              <w:start w:w="85" w:type="dxa"/>
              <w:bottom w:w="75" w:type="dxa"/>
              <w:end w:w="85" w:type="dxa"/>
            </w:tcMar>
            <w:vAlign w:val="top"/>
          </w:tcPr>
          <w:p>
            <w:pPr>
              <w:spacing w:after="0"/>
            </w:pPr>
            <w:r>
              <w:rPr>
                <w:rFonts w:ascii="Arial" w:hAnsi="Arial"/>
                <w:color w:val="24313A"/>
                <w:sz w:val="16"/>
              </w:rPr>
              <w:t>A researcher compares official and independent estimates and sees which assumptions produce the difference.</w:t>
            </w:r>
          </w:p>
        </w:tc>
      </w:tr>
      <w:tr>
        <w:trPr>
          <w:cantSplit/>
        </w:trPr>
        <w:tc>
          <w:tcPr>
            <w:tcW w:type="dxa" w:w="2952"/>
            <w:shd w:fill="F7F9FA"/>
            <w:tcMar>
              <w:top w:w="75" w:type="dxa"/>
              <w:start w:w="85" w:type="dxa"/>
              <w:bottom w:w="75" w:type="dxa"/>
              <w:end w:w="85" w:type="dxa"/>
            </w:tcMar>
            <w:vAlign w:val="top"/>
          </w:tcPr>
          <w:p>
            <w:pPr>
              <w:spacing w:after="0"/>
            </w:pPr>
            <w:r>
              <w:rPr>
                <w:rFonts w:ascii="Arial" w:hAnsi="Arial"/>
                <w:color w:val="24313A"/>
                <w:sz w:val="16"/>
              </w:rPr>
              <w:t>What happened after enactment?</w:t>
            </w:r>
          </w:p>
        </w:tc>
        <w:tc>
          <w:tcPr>
            <w:tcW w:type="dxa" w:w="6552"/>
            <w:shd w:fill="F7F9FA"/>
            <w:tcMar>
              <w:top w:w="75" w:type="dxa"/>
              <w:start w:w="85" w:type="dxa"/>
              <w:bottom w:w="75" w:type="dxa"/>
              <w:end w:w="85" w:type="dxa"/>
            </w:tcMar>
            <w:vAlign w:val="top"/>
          </w:tcPr>
          <w:p>
            <w:pPr>
              <w:spacing w:after="0"/>
            </w:pPr>
            <w:r>
              <w:rPr>
                <w:rFonts w:ascii="Arial" w:hAnsi="Arial"/>
                <w:color w:val="24313A"/>
                <w:sz w:val="16"/>
              </w:rPr>
              <w:t>A user follows the law into agency rules, spending, recipient data, and realized outcomes where data become available.</w:t>
            </w:r>
          </w:p>
        </w:tc>
      </w:tr>
      <w:tr>
        <w:trPr>
          <w:cantSplit/>
        </w:trPr>
        <w:tc>
          <w:tcPr>
            <w:tcW w:type="dxa" w:w="2952"/>
            <w:shd w:fill="F7F9FA"/>
            <w:tcMar>
              <w:top w:w="75" w:type="dxa"/>
              <w:start w:w="85" w:type="dxa"/>
              <w:bottom w:w="75" w:type="dxa"/>
              <w:end w:w="85" w:type="dxa"/>
            </w:tcMar>
            <w:vAlign w:val="top"/>
          </w:tcPr>
          <w:p>
            <w:pPr>
              <w:spacing w:after="0"/>
            </w:pPr>
            <w:r>
              <w:rPr>
                <w:rFonts w:ascii="Arial" w:hAnsi="Arial"/>
                <w:color w:val="24313A"/>
                <w:sz w:val="16"/>
              </w:rPr>
              <w:t>How do different perspectives interpret the same facts?</w:t>
            </w:r>
          </w:p>
        </w:tc>
        <w:tc>
          <w:tcPr>
            <w:tcW w:type="dxa" w:w="6552"/>
            <w:shd w:fill="F7F9FA"/>
            <w:tcMar>
              <w:top w:w="75" w:type="dxa"/>
              <w:start w:w="85" w:type="dxa"/>
              <w:bottom w:w="75" w:type="dxa"/>
              <w:end w:w="85" w:type="dxa"/>
            </w:tcMar>
            <w:vAlign w:val="top"/>
          </w:tcPr>
          <w:p>
            <w:pPr>
              <w:spacing w:after="0"/>
            </w:pPr>
            <w:r>
              <w:rPr>
                <w:rFonts w:ascii="Arial" w:hAnsi="Arial"/>
                <w:color w:val="24313A"/>
                <w:sz w:val="16"/>
              </w:rPr>
              <w:t>A user compares distributional-equity, fiscal-restraint, growth, liberty, safety-net, federalism, environmental, or custom profiles while the evidence and calculations remain unchanged.</w:t>
            </w:r>
          </w:p>
        </w:tc>
      </w:tr>
    </w:tbl>
    <w:p>
      <w:bookmarkStart w:id="40" w:name="contract"/>
      <w:pPr>
        <w:pStyle w:val="Heading1"/>
      </w:pPr>
      <w:r>
        <w:t>4. The analytical contract</w:t>
      </w:r>
      <w:bookmarkEnd w:id="40"/>
    </w:p>
    <w:p>
      <w:pPr>
        <w:spacing w:after="120" w:line="259" w:lineRule="auto"/>
      </w:pPr>
      <w:r>
        <w:rPr>
          <w:rFonts w:ascii="Arial" w:hAnsi="Arial"/>
          <w:color w:val="24313A"/>
          <w:sz w:val="19"/>
        </w:rPr>
        <w:t>The analytical contract is the public promise governing every report. It is more important than any specific model or interface because it defines what users may rely upon.</w:t>
      </w:r>
    </w:p>
    <w:p>
      <w:pPr>
        <w:pStyle w:val="Heading2"/>
      </w:pPr>
      <w:r>
        <w:t>Required elements of every published analysis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1944"/>
            <w:shd w:fill="17324D"/>
            <w:tcMar>
              <w:top w:w="90" w:type="dxa"/>
              <w:start w:w="90" w:type="dxa"/>
              <w:bottom w:w="90" w:type="dxa"/>
              <w:end w:w="90" w:type="dxa"/>
            </w:tcMar>
            <w:vAlign w:val="center"/>
          </w:tcPr>
          <w:p>
            <w:pPr>
              <w:jc w:val="left"/>
            </w:pPr>
            <w:r>
              <w:rPr>
                <w:rFonts w:ascii="Arial" w:hAnsi="Arial"/>
                <w:b/>
                <w:color w:val="FFFFFF"/>
                <w:sz w:val="16"/>
              </w:rPr>
              <w:t>Element</w:t>
            </w:r>
          </w:p>
        </w:tc>
        <w:tc>
          <w:tcPr>
            <w:tcW w:type="dxa" w:w="7560"/>
            <w:shd w:fill="17324D"/>
            <w:tcMar>
              <w:top w:w="90" w:type="dxa"/>
              <w:start w:w="90" w:type="dxa"/>
              <w:bottom w:w="90" w:type="dxa"/>
              <w:end w:w="90" w:type="dxa"/>
            </w:tcMar>
            <w:vAlign w:val="center"/>
          </w:tcPr>
          <w:p>
            <w:pPr>
              <w:jc w:val="left"/>
            </w:pPr>
            <w:r>
              <w:rPr>
                <w:rFonts w:ascii="Arial" w:hAnsi="Arial"/>
                <w:b/>
                <w:color w:val="FFFFFF"/>
                <w:sz w:val="16"/>
              </w:rPr>
              <w:t>Minimum publication requirement</w:t>
            </w:r>
          </w:p>
        </w:tc>
      </w:tr>
      <w:tr>
        <w:trPr>
          <w:cantSplit/>
        </w:trPr>
        <w:tc>
          <w:tcPr>
            <w:tcW w:type="dxa" w:w="1944"/>
            <w:tcMar>
              <w:top w:w="75" w:type="dxa"/>
              <w:start w:w="85" w:type="dxa"/>
              <w:bottom w:w="75" w:type="dxa"/>
              <w:end w:w="85" w:type="dxa"/>
            </w:tcMar>
            <w:vAlign w:val="top"/>
          </w:tcPr>
          <w:p>
            <w:pPr>
              <w:spacing w:after="0"/>
            </w:pPr>
            <w:r>
              <w:rPr>
                <w:rFonts w:ascii="Arial" w:hAnsi="Arial"/>
                <w:color w:val="24313A"/>
                <w:sz w:val="16"/>
              </w:rPr>
              <w:t>Identity</w:t>
            </w:r>
          </w:p>
        </w:tc>
        <w:tc>
          <w:tcPr>
            <w:tcW w:type="dxa" w:w="7560"/>
            <w:tcMar>
              <w:top w:w="75" w:type="dxa"/>
              <w:start w:w="85" w:type="dxa"/>
              <w:bottom w:w="75" w:type="dxa"/>
              <w:end w:w="85" w:type="dxa"/>
            </w:tcMar>
            <w:vAlign w:val="top"/>
          </w:tcPr>
          <w:p>
            <w:pPr>
              <w:spacing w:after="0"/>
            </w:pPr>
            <w:r>
              <w:rPr>
                <w:rFonts w:ascii="Arial" w:hAnsi="Arial"/>
                <w:color w:val="24313A"/>
                <w:sz w:val="16"/>
              </w:rPr>
              <w:t>Congress, bill type/number, official text version, publication date, source URL, retrieval timestamp, and cryptographic hash.</w:t>
            </w:r>
          </w:p>
        </w:tc>
      </w:tr>
      <w:tr>
        <w:trPr>
          <w:cantSplit/>
        </w:trPr>
        <w:tc>
          <w:tcPr>
            <w:tcW w:type="dxa" w:w="1944"/>
            <w:shd w:fill="F7F9FA"/>
            <w:tcMar>
              <w:top w:w="75" w:type="dxa"/>
              <w:start w:w="85" w:type="dxa"/>
              <w:bottom w:w="75" w:type="dxa"/>
              <w:end w:w="85" w:type="dxa"/>
            </w:tcMar>
            <w:vAlign w:val="top"/>
          </w:tcPr>
          <w:p>
            <w:pPr>
              <w:spacing w:after="0"/>
            </w:pPr>
            <w:r>
              <w:rPr>
                <w:rFonts w:ascii="Arial" w:hAnsi="Arial"/>
                <w:color w:val="24313A"/>
                <w:sz w:val="16"/>
              </w:rPr>
              <w:t>Comparison</w:t>
            </w:r>
          </w:p>
        </w:tc>
        <w:tc>
          <w:tcPr>
            <w:tcW w:type="dxa" w:w="7560"/>
            <w:shd w:fill="F7F9FA"/>
            <w:tcMar>
              <w:top w:w="75" w:type="dxa"/>
              <w:start w:w="85" w:type="dxa"/>
              <w:bottom w:w="75" w:type="dxa"/>
              <w:end w:w="85" w:type="dxa"/>
            </w:tcMar>
            <w:vAlign w:val="top"/>
          </w:tcPr>
          <w:p>
            <w:pPr>
              <w:spacing w:after="0"/>
            </w:pPr>
            <w:r>
              <w:rPr>
                <w:rFonts w:ascii="Arial" w:hAnsi="Arial"/>
                <w:color w:val="24313A"/>
                <w:sz w:val="16"/>
              </w:rPr>
              <w:t>The exact prior version or current-law baseline used for comparison.</w:t>
            </w:r>
          </w:p>
        </w:tc>
      </w:tr>
      <w:tr>
        <w:trPr>
          <w:cantSplit/>
        </w:trPr>
        <w:tc>
          <w:tcPr>
            <w:tcW w:type="dxa" w:w="1944"/>
            <w:tcMar>
              <w:top w:w="75" w:type="dxa"/>
              <w:start w:w="85" w:type="dxa"/>
              <w:bottom w:w="75" w:type="dxa"/>
              <w:end w:w="85" w:type="dxa"/>
            </w:tcMar>
            <w:vAlign w:val="top"/>
          </w:tcPr>
          <w:p>
            <w:pPr>
              <w:spacing w:after="0"/>
            </w:pPr>
            <w:r>
              <w:rPr>
                <w:rFonts w:ascii="Arial" w:hAnsi="Arial"/>
                <w:color w:val="24313A"/>
                <w:sz w:val="16"/>
              </w:rPr>
              <w:t>Change record</w:t>
            </w:r>
          </w:p>
        </w:tc>
        <w:tc>
          <w:tcPr>
            <w:tcW w:type="dxa" w:w="7560"/>
            <w:tcMar>
              <w:top w:w="75" w:type="dxa"/>
              <w:start w:w="85" w:type="dxa"/>
              <w:bottom w:w="75" w:type="dxa"/>
              <w:end w:w="85" w:type="dxa"/>
            </w:tcMar>
            <w:vAlign w:val="top"/>
          </w:tcPr>
          <w:p>
            <w:pPr>
              <w:spacing w:after="0"/>
            </w:pPr>
            <w:r>
              <w:rPr>
                <w:rFonts w:ascii="Arial" w:hAnsi="Arial"/>
                <w:color w:val="24313A"/>
                <w:sz w:val="16"/>
              </w:rPr>
              <w:t>Added, deleted, moved, and materially modified language, with section-level matching confidence.</w:t>
            </w:r>
          </w:p>
        </w:tc>
      </w:tr>
      <w:tr>
        <w:trPr>
          <w:cantSplit/>
        </w:trPr>
        <w:tc>
          <w:tcPr>
            <w:tcW w:type="dxa" w:w="1944"/>
            <w:shd w:fill="F7F9FA"/>
            <w:tcMar>
              <w:top w:w="75" w:type="dxa"/>
              <w:start w:w="85" w:type="dxa"/>
              <w:bottom w:w="75" w:type="dxa"/>
              <w:end w:w="85" w:type="dxa"/>
            </w:tcMar>
            <w:vAlign w:val="top"/>
          </w:tcPr>
          <w:p>
            <w:pPr>
              <w:spacing w:after="0"/>
            </w:pPr>
            <w:r>
              <w:rPr>
                <w:rFonts w:ascii="Arial" w:hAnsi="Arial"/>
                <w:color w:val="24313A"/>
                <w:sz w:val="16"/>
              </w:rPr>
              <w:t>Provision structure</w:t>
            </w:r>
          </w:p>
        </w:tc>
        <w:tc>
          <w:tcPr>
            <w:tcW w:type="dxa" w:w="7560"/>
            <w:shd w:fill="F7F9FA"/>
            <w:tcMar>
              <w:top w:w="75" w:type="dxa"/>
              <w:start w:w="85" w:type="dxa"/>
              <w:bottom w:w="75" w:type="dxa"/>
              <w:end w:w="85" w:type="dxa"/>
            </w:tcMar>
            <w:vAlign w:val="top"/>
          </w:tcPr>
          <w:p>
            <w:pPr>
              <w:spacing w:after="0"/>
            </w:pPr>
            <w:r>
              <w:rPr>
                <w:rFonts w:ascii="Arial" w:hAnsi="Arial"/>
                <w:color w:val="24313A"/>
                <w:sz w:val="16"/>
              </w:rPr>
              <w:t>Eligibility, benefit or burden mechanism, amount/formula, dates, phase-ins, sunsets, exceptions, affected code/program, agency, and delegated authority.</w:t>
            </w:r>
          </w:p>
        </w:tc>
      </w:tr>
      <w:tr>
        <w:trPr>
          <w:cantSplit/>
        </w:trPr>
        <w:tc>
          <w:tcPr>
            <w:tcW w:type="dxa" w:w="1944"/>
            <w:tcMar>
              <w:top w:w="75" w:type="dxa"/>
              <w:start w:w="85" w:type="dxa"/>
              <w:bottom w:w="75" w:type="dxa"/>
              <w:end w:w="85" w:type="dxa"/>
            </w:tcMar>
            <w:vAlign w:val="top"/>
          </w:tcPr>
          <w:p>
            <w:pPr>
              <w:spacing w:after="0"/>
            </w:pPr>
            <w:r>
              <w:rPr>
                <w:rFonts w:ascii="Arial" w:hAnsi="Arial"/>
                <w:color w:val="24313A"/>
                <w:sz w:val="16"/>
              </w:rPr>
              <w:t>Impact dimensions</w:t>
            </w:r>
          </w:p>
        </w:tc>
        <w:tc>
          <w:tcPr>
            <w:tcW w:type="dxa" w:w="7560"/>
            <w:tcMar>
              <w:top w:w="75" w:type="dxa"/>
              <w:start w:w="85" w:type="dxa"/>
              <w:bottom w:w="75" w:type="dxa"/>
              <w:end w:w="85" w:type="dxa"/>
            </w:tcMar>
            <w:vAlign w:val="top"/>
          </w:tcPr>
          <w:p>
            <w:pPr>
              <w:spacing w:after="0"/>
            </w:pPr>
            <w:r>
              <w:rPr>
                <w:rFonts w:ascii="Arial" w:hAnsi="Arial"/>
                <w:color w:val="24313A"/>
                <w:sz w:val="16"/>
              </w:rPr>
              <w:t>Federal budget; household resources; tax incidence; benefits; business/industry; geographic; administrative; behavioral; and implementation effects as applicable.</w:t>
            </w:r>
          </w:p>
        </w:tc>
      </w:tr>
      <w:tr>
        <w:trPr>
          <w:cantSplit/>
        </w:trPr>
        <w:tc>
          <w:tcPr>
            <w:tcW w:type="dxa" w:w="1944"/>
            <w:shd w:fill="F7F9FA"/>
            <w:tcMar>
              <w:top w:w="75" w:type="dxa"/>
              <w:start w:w="85" w:type="dxa"/>
              <w:bottom w:w="75" w:type="dxa"/>
              <w:end w:w="85" w:type="dxa"/>
            </w:tcMar>
            <w:vAlign w:val="top"/>
          </w:tcPr>
          <w:p>
            <w:pPr>
              <w:spacing w:after="0"/>
            </w:pPr>
            <w:r>
              <w:rPr>
                <w:rFonts w:ascii="Arial" w:hAnsi="Arial"/>
                <w:color w:val="24313A"/>
                <w:sz w:val="16"/>
              </w:rPr>
              <w:t>Model disclosure</w:t>
            </w:r>
          </w:p>
        </w:tc>
        <w:tc>
          <w:tcPr>
            <w:tcW w:type="dxa" w:w="7560"/>
            <w:shd w:fill="F7F9FA"/>
            <w:tcMar>
              <w:top w:w="75" w:type="dxa"/>
              <w:start w:w="85" w:type="dxa"/>
              <w:bottom w:w="75" w:type="dxa"/>
              <w:end w:w="85" w:type="dxa"/>
            </w:tcMar>
            <w:vAlign w:val="top"/>
          </w:tcPr>
          <w:p>
            <w:pPr>
              <w:spacing w:after="0"/>
            </w:pPr>
            <w:r>
              <w:rPr>
                <w:rFonts w:ascii="Arial" w:hAnsi="Arial"/>
                <w:color w:val="24313A"/>
                <w:sz w:val="16"/>
              </w:rPr>
              <w:t>Model name/version, data vintage, assumptions, units, population, weighting, imputation, behavioral response, and excluded effects.</w:t>
            </w:r>
          </w:p>
        </w:tc>
      </w:tr>
      <w:tr>
        <w:trPr>
          <w:cantSplit/>
        </w:trPr>
        <w:tc>
          <w:tcPr>
            <w:tcW w:type="dxa" w:w="1944"/>
            <w:tcMar>
              <w:top w:w="75" w:type="dxa"/>
              <w:start w:w="85" w:type="dxa"/>
              <w:bottom w:w="75" w:type="dxa"/>
              <w:end w:w="85" w:type="dxa"/>
            </w:tcMar>
            <w:vAlign w:val="top"/>
          </w:tcPr>
          <w:p>
            <w:pPr>
              <w:spacing w:after="0"/>
            </w:pPr>
            <w:r>
              <w:rPr>
                <w:rFonts w:ascii="Arial" w:hAnsi="Arial"/>
                <w:color w:val="24313A"/>
                <w:sz w:val="16"/>
              </w:rPr>
              <w:t>Uncertainty</w:t>
            </w:r>
          </w:p>
        </w:tc>
        <w:tc>
          <w:tcPr>
            <w:tcW w:type="dxa" w:w="7560"/>
            <w:tcMar>
              <w:top w:w="75" w:type="dxa"/>
              <w:start w:w="85" w:type="dxa"/>
              <w:bottom w:w="75" w:type="dxa"/>
              <w:end w:w="85" w:type="dxa"/>
            </w:tcMar>
            <w:vAlign w:val="top"/>
          </w:tcPr>
          <w:p>
            <w:pPr>
              <w:spacing w:after="0"/>
            </w:pPr>
            <w:r>
              <w:rPr>
                <w:rFonts w:ascii="Arial" w:hAnsi="Arial"/>
                <w:color w:val="24313A"/>
                <w:sz w:val="16"/>
              </w:rPr>
              <w:t>Known unknowns, sensitivity cases, confidence label, and conditions that could materially change the result.</w:t>
            </w:r>
          </w:p>
        </w:tc>
      </w:tr>
      <w:tr>
        <w:trPr>
          <w:cantSplit/>
        </w:trPr>
        <w:tc>
          <w:tcPr>
            <w:tcW w:type="dxa" w:w="1944"/>
            <w:shd w:fill="F7F9FA"/>
            <w:tcMar>
              <w:top w:w="75" w:type="dxa"/>
              <w:start w:w="85" w:type="dxa"/>
              <w:bottom w:w="75" w:type="dxa"/>
              <w:end w:w="85" w:type="dxa"/>
            </w:tcMar>
            <w:vAlign w:val="top"/>
          </w:tcPr>
          <w:p>
            <w:pPr>
              <w:spacing w:after="0"/>
            </w:pPr>
            <w:r>
              <w:rPr>
                <w:rFonts w:ascii="Arial" w:hAnsi="Arial"/>
                <w:color w:val="24313A"/>
                <w:sz w:val="16"/>
              </w:rPr>
              <w:t>Review</w:t>
            </w:r>
          </w:p>
        </w:tc>
        <w:tc>
          <w:tcPr>
            <w:tcW w:type="dxa" w:w="7560"/>
            <w:shd w:fill="F7F9FA"/>
            <w:tcMar>
              <w:top w:w="75" w:type="dxa"/>
              <w:start w:w="85" w:type="dxa"/>
              <w:bottom w:w="75" w:type="dxa"/>
              <w:end w:w="85" w:type="dxa"/>
            </w:tcMar>
            <w:vAlign w:val="top"/>
          </w:tcPr>
          <w:p>
            <w:pPr>
              <w:spacing w:after="0"/>
            </w:pPr>
            <w:r>
              <w:rPr>
                <w:rFonts w:ascii="Arial" w:hAnsi="Arial"/>
                <w:color w:val="24313A"/>
                <w:sz w:val="16"/>
              </w:rPr>
              <w:t>Publication state; automated validation results; risk tier; model disagreement; triggered or sampled review; reviewer when applicable; publication time; correction and supersession history.</w:t>
            </w:r>
          </w:p>
        </w:tc>
      </w:tr>
      <w:tr>
        <w:trPr>
          <w:cantSplit/>
        </w:trPr>
        <w:tc>
          <w:tcPr>
            <w:tcW w:type="dxa" w:w="1944"/>
            <w:tcMar>
              <w:top w:w="75" w:type="dxa"/>
              <w:start w:w="85" w:type="dxa"/>
              <w:bottom w:w="75" w:type="dxa"/>
              <w:end w:w="85" w:type="dxa"/>
            </w:tcMar>
            <w:vAlign w:val="top"/>
          </w:tcPr>
          <w:p>
            <w:pPr>
              <w:spacing w:after="0"/>
            </w:pPr>
            <w:r>
              <w:rPr>
                <w:rFonts w:ascii="Arial" w:hAnsi="Arial"/>
                <w:color w:val="24313A"/>
                <w:sz w:val="16"/>
              </w:rPr>
              <w:t>Source trail</w:t>
            </w:r>
          </w:p>
        </w:tc>
        <w:tc>
          <w:tcPr>
            <w:tcW w:type="dxa" w:w="7560"/>
            <w:tcMar>
              <w:top w:w="75" w:type="dxa"/>
              <w:start w:w="85" w:type="dxa"/>
              <w:bottom w:w="75" w:type="dxa"/>
              <w:end w:w="85" w:type="dxa"/>
            </w:tcMar>
            <w:vAlign w:val="top"/>
          </w:tcPr>
          <w:p>
            <w:pPr>
              <w:spacing w:after="0"/>
            </w:pPr>
            <w:r>
              <w:rPr>
                <w:rFonts w:ascii="Arial" w:hAnsi="Arial"/>
                <w:color w:val="24313A"/>
                <w:sz w:val="16"/>
              </w:rPr>
              <w:t>Links to authoritative source text and supporting official or independent evidence.</w:t>
            </w:r>
          </w:p>
        </w:tc>
      </w:tr>
      <w:tr>
        <w:trPr>
          <w:cantSplit/>
        </w:trPr>
        <w:tc>
          <w:tcPr>
            <w:tcW w:type="dxa" w:w="1944"/>
            <w:shd w:fill="F7F9FA"/>
            <w:tcMar>
              <w:top w:w="75" w:type="dxa"/>
              <w:start w:w="85" w:type="dxa"/>
              <w:bottom w:w="75" w:type="dxa"/>
              <w:end w:w="85" w:type="dxa"/>
            </w:tcMar>
            <w:vAlign w:val="top"/>
          </w:tcPr>
          <w:p>
            <w:pPr>
              <w:spacing w:after="0"/>
            </w:pPr>
            <w:r>
              <w:rPr>
                <w:rFonts w:ascii="Arial" w:hAnsi="Arial"/>
                <w:color w:val="24313A"/>
                <w:sz w:val="16"/>
              </w:rPr>
              <w:t>Plain-language summary</w:t>
            </w:r>
          </w:p>
        </w:tc>
        <w:tc>
          <w:tcPr>
            <w:tcW w:type="dxa" w:w="7560"/>
            <w:shd w:fill="F7F9FA"/>
            <w:tcMar>
              <w:top w:w="75" w:type="dxa"/>
              <w:start w:w="85" w:type="dxa"/>
              <w:bottom w:w="75" w:type="dxa"/>
              <w:end w:w="85" w:type="dxa"/>
            </w:tcMar>
            <w:vAlign w:val="top"/>
          </w:tcPr>
          <w:p>
            <w:pPr>
              <w:spacing w:after="0"/>
            </w:pPr>
            <w:r>
              <w:rPr>
                <w:rFonts w:ascii="Arial" w:hAnsi="Arial"/>
                <w:color w:val="24313A"/>
                <w:sz w:val="16"/>
              </w:rPr>
              <w:t>A concise explanation that does not overstate the underlying evidence.</w:t>
            </w:r>
          </w:p>
        </w:tc>
      </w:tr>
    </w:tbl>
    <w:p>
      <w:pPr>
        <w:pStyle w:val="Heading2"/>
      </w:pPr>
      <w:r>
        <w:t>Evidence hierarchy</w:t>
      </w:r>
    </w:p>
    <w:p>
      <w:pPr>
        <w:pStyle w:val="ListNumber"/>
        <w:spacing w:after="60"/>
      </w:pPr>
      <w:r>
        <w:rPr>
          <w:rFonts w:ascii="Arial" w:hAnsi="Arial"/>
          <w:color w:val="24313A"/>
        </w:rPr>
        <w:t>Official legislative text and legislative status from Congress.gov, GovInfo, the House, or the Senate.</w:t>
      </w:r>
    </w:p>
    <w:p>
      <w:pPr>
        <w:pStyle w:val="ListNumber"/>
        <w:spacing w:after="60"/>
      </w:pPr>
      <w:r>
        <w:rPr>
          <w:rFonts w:ascii="Arial" w:hAnsi="Arial"/>
          <w:color w:val="24313A"/>
        </w:rPr>
        <w:t>Official fiscal, tax, program, regulatory, spending, and disclosure data from responsible federal entities.</w:t>
      </w:r>
    </w:p>
    <w:p>
      <w:pPr>
        <w:pStyle w:val="ListNumber"/>
        <w:spacing w:after="60"/>
      </w:pPr>
      <w:r>
        <w:rPr>
          <w:rFonts w:ascii="Arial" w:hAnsi="Arial"/>
          <w:color w:val="24313A"/>
        </w:rPr>
        <w:t>Peer-reviewed research, transparent independent models, and reputable nonpartisan institutions.</w:t>
      </w:r>
    </w:p>
    <w:p>
      <w:pPr>
        <w:pStyle w:val="ListNumber"/>
        <w:spacing w:after="60"/>
      </w:pPr>
      <w:r>
        <w:rPr>
          <w:rFonts w:ascii="Arial" w:hAnsi="Arial"/>
          <w:color w:val="24313A"/>
        </w:rPr>
        <w:t>Documented analyst inference based on the above.</w:t>
      </w:r>
    </w:p>
    <w:p>
      <w:pPr>
        <w:pStyle w:val="ListNumber"/>
        <w:spacing w:after="60"/>
      </w:pPr>
      <w:r>
        <w:rPr>
          <w:rFonts w:ascii="Arial" w:hAnsi="Arial"/>
          <w:color w:val="24313A"/>
        </w:rPr>
        <w:t>Public submissions and commentary, clearly labeled and never treated as verified merely because they are published.</w:t>
      </w:r>
    </w:p>
    <w:tbl>
      <w:tblPr>
        <w:tblW w:type="auto" w:w="0"/>
        <w:jc w:val="center"/>
        <w:tblLayout w:type="fixed"/>
        <w:tblLook w:firstColumn="1" w:firstRow="1" w:lastColumn="0" w:lastRow="0" w:noHBand="0" w:noVBand="1" w:val="04A0"/>
        <w:tblBorders>
          <w:top w:val="single" w:sz="10" w:space="0" w:color="C28A2C"/>
          <w:left w:val="single" w:sz="10" w:space="0" w:color="C28A2C"/>
          <w:bottom w:val="single" w:sz="10" w:space="0" w:color="C28A2C"/>
          <w:right w:val="single" w:sz="10" w:space="0" w:color="C28A2C"/>
          <w:insideH w:val="single" w:sz="10" w:space="0" w:color="C28A2C"/>
          <w:insideV w:val="single" w:sz="10" w:space="0" w:color="C28A2C"/>
        </w:tblBorders>
      </w:tblPr>
      <w:tblGrid>
        <w:gridCol w:w="9504"/>
      </w:tblGrid>
      <w:tr>
        <w:trPr>
          <w:cantSplit/>
          <w:tblHeader w:val="true"/>
        </w:trPr>
        <w:tc>
          <w:tcPr>
            <w:tcW w:type="dxa" w:w="9878"/>
            <w:shd w:fill="F8F0DF"/>
            <w:tcMar>
              <w:top w:w="130" w:type="dxa"/>
              <w:start w:w="170" w:type="dxa"/>
              <w:bottom w:w="130" w:type="dxa"/>
              <w:end w:w="170" w:type="dxa"/>
            </w:tcMar>
          </w:tcPr>
          <w:p>
            <w:pPr>
              <w:spacing w:after="80"/>
            </w:pPr>
            <w:r>
              <w:rPr>
                <w:rFonts w:ascii="Arial" w:hAnsi="Arial"/>
                <w:b/>
                <w:color w:val="C28A2C"/>
                <w:sz w:val="22"/>
              </w:rPr>
              <w:t>Conflict rule</w:t>
            </w:r>
          </w:p>
          <w:p>
            <w:pPr>
              <w:spacing w:after="0"/>
            </w:pPr>
            <w:r>
              <w:rPr>
                <w:rFonts w:ascii="Arial" w:hAnsi="Arial"/>
                <w:color w:val="24313A"/>
                <w:sz w:val="19"/>
              </w:rPr>
              <w:t>When sources conflict, do not silently choose the preferred answer. Show the conflict, explain differences in scope or assumptions, and identify which source controls each factual field or calculation.</w:t>
            </w:r>
          </w:p>
        </w:tc>
      </w:tr>
    </w:tbl>
    <w:p>
      <w:pPr>
        <w:pStyle w:val="Heading2"/>
      </w:pPr>
      <w:r>
        <w:t>Confidence labels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3293"/>
        <w:gridCol w:w="3293"/>
        <w:gridCol w:w="3293"/>
      </w:tblGrid>
      <w:tr>
        <w:trPr>
          <w:tblHeader w:val="true"/>
          <w:cantSplit/>
        </w:trPr>
        <w:tc>
          <w:tcPr>
            <w:tcW w:type="dxa" w:w="1512"/>
            <w:shd w:fill="17324D"/>
            <w:tcMar>
              <w:top w:w="90" w:type="dxa"/>
              <w:start w:w="90" w:type="dxa"/>
              <w:bottom w:w="90" w:type="dxa"/>
              <w:end w:w="90" w:type="dxa"/>
            </w:tcMar>
            <w:vAlign w:val="center"/>
          </w:tcPr>
          <w:p>
            <w:pPr>
              <w:jc w:val="left"/>
            </w:pPr>
            <w:r>
              <w:rPr>
                <w:rFonts w:ascii="Arial" w:hAnsi="Arial"/>
                <w:b/>
                <w:color w:val="FFFFFF"/>
                <w:sz w:val="16"/>
              </w:rPr>
              <w:t>Label</w:t>
            </w:r>
          </w:p>
        </w:tc>
        <w:tc>
          <w:tcPr>
            <w:tcW w:type="dxa" w:w="4680"/>
            <w:shd w:fill="17324D"/>
            <w:tcMar>
              <w:top w:w="90" w:type="dxa"/>
              <w:start w:w="90" w:type="dxa"/>
              <w:bottom w:w="90" w:type="dxa"/>
              <w:end w:w="90" w:type="dxa"/>
            </w:tcMar>
            <w:vAlign w:val="center"/>
          </w:tcPr>
          <w:p>
            <w:pPr>
              <w:jc w:val="left"/>
            </w:pPr>
            <w:r>
              <w:rPr>
                <w:rFonts w:ascii="Arial" w:hAnsi="Arial"/>
                <w:b/>
                <w:color w:val="FFFFFF"/>
                <w:sz w:val="16"/>
              </w:rPr>
              <w:t>Meaning</w:t>
            </w:r>
          </w:p>
        </w:tc>
        <w:tc>
          <w:tcPr>
            <w:tcW w:type="dxa" w:w="3312"/>
            <w:shd w:fill="17324D"/>
            <w:tcMar>
              <w:top w:w="90" w:type="dxa"/>
              <w:start w:w="90" w:type="dxa"/>
              <w:bottom w:w="90" w:type="dxa"/>
              <w:end w:w="90" w:type="dxa"/>
            </w:tcMar>
            <w:vAlign w:val="center"/>
          </w:tcPr>
          <w:p>
            <w:pPr>
              <w:jc w:val="left"/>
            </w:pPr>
            <w:r>
              <w:rPr>
                <w:rFonts w:ascii="Arial" w:hAnsi="Arial"/>
                <w:b/>
                <w:color w:val="FFFFFF"/>
                <w:sz w:val="16"/>
              </w:rPr>
              <w:t>Typical treatment</w:t>
            </w:r>
          </w:p>
        </w:tc>
      </w:tr>
      <w:tr>
        <w:trPr>
          <w:cantSplit/>
        </w:trPr>
        <w:tc>
          <w:tcPr>
            <w:tcW w:type="dxa" w:w="1512"/>
            <w:tcMar>
              <w:top w:w="75" w:type="dxa"/>
              <w:start w:w="85" w:type="dxa"/>
              <w:bottom w:w="75" w:type="dxa"/>
              <w:end w:w="85" w:type="dxa"/>
            </w:tcMar>
            <w:vAlign w:val="top"/>
          </w:tcPr>
          <w:p>
            <w:pPr>
              <w:spacing w:after="0"/>
            </w:pPr>
            <w:r>
              <w:rPr>
                <w:rFonts w:ascii="Arial" w:hAnsi="Arial"/>
                <w:color w:val="24313A"/>
                <w:sz w:val="15"/>
              </w:rPr>
              <w:t>Verified</w:t>
            </w:r>
          </w:p>
        </w:tc>
        <w:tc>
          <w:tcPr>
            <w:tcW w:type="dxa" w:w="4680"/>
            <w:tcMar>
              <w:top w:w="75" w:type="dxa"/>
              <w:start w:w="85" w:type="dxa"/>
              <w:bottom w:w="75" w:type="dxa"/>
              <w:end w:w="85" w:type="dxa"/>
            </w:tcMar>
            <w:vAlign w:val="top"/>
          </w:tcPr>
          <w:p>
            <w:pPr>
              <w:spacing w:after="0"/>
            </w:pPr>
            <w:r>
              <w:rPr>
                <w:rFonts w:ascii="Arial" w:hAnsi="Arial"/>
                <w:color w:val="24313A"/>
                <w:sz w:val="15"/>
              </w:rPr>
              <w:t>Directly sourced or independently reproduced with no material discrepancy.</w:t>
            </w:r>
          </w:p>
        </w:tc>
        <w:tc>
          <w:tcPr>
            <w:tcW w:type="dxa" w:w="3312"/>
            <w:tcMar>
              <w:top w:w="75" w:type="dxa"/>
              <w:start w:w="85" w:type="dxa"/>
              <w:bottom w:w="75" w:type="dxa"/>
              <w:end w:w="85" w:type="dxa"/>
            </w:tcMar>
            <w:vAlign w:val="top"/>
          </w:tcPr>
          <w:p>
            <w:pPr>
              <w:spacing w:after="0"/>
            </w:pPr>
            <w:r>
              <w:rPr>
                <w:rFonts w:ascii="Arial" w:hAnsi="Arial"/>
                <w:color w:val="24313A"/>
                <w:sz w:val="15"/>
              </w:rPr>
              <w:t>Publish normally; retain routine monitoring.</w:t>
            </w:r>
          </w:p>
        </w:tc>
      </w:tr>
      <w:tr>
        <w:trPr>
          <w:cantSplit/>
        </w:trPr>
        <w:tc>
          <w:tcPr>
            <w:tcW w:type="dxa" w:w="1512"/>
            <w:shd w:fill="F7F9FA"/>
            <w:tcMar>
              <w:top w:w="75" w:type="dxa"/>
              <w:start w:w="85" w:type="dxa"/>
              <w:bottom w:w="75" w:type="dxa"/>
              <w:end w:w="85" w:type="dxa"/>
            </w:tcMar>
            <w:vAlign w:val="top"/>
          </w:tcPr>
          <w:p>
            <w:pPr>
              <w:spacing w:after="0"/>
            </w:pPr>
            <w:r>
              <w:rPr>
                <w:rFonts w:ascii="Arial" w:hAnsi="Arial"/>
                <w:color w:val="24313A"/>
                <w:sz w:val="15"/>
              </w:rPr>
              <w:t>High</w:t>
            </w:r>
          </w:p>
        </w:tc>
        <w:tc>
          <w:tcPr>
            <w:tcW w:type="dxa" w:w="4680"/>
            <w:shd w:fill="F7F9FA"/>
            <w:tcMar>
              <w:top w:w="75" w:type="dxa"/>
              <w:start w:w="85" w:type="dxa"/>
              <w:bottom w:w="75" w:type="dxa"/>
              <w:end w:w="85" w:type="dxa"/>
            </w:tcMar>
            <w:vAlign w:val="top"/>
          </w:tcPr>
          <w:p>
            <w:pPr>
              <w:spacing w:after="0"/>
            </w:pPr>
            <w:r>
              <w:rPr>
                <w:rFonts w:ascii="Arial" w:hAnsi="Arial"/>
                <w:color w:val="24313A"/>
                <w:sz w:val="15"/>
              </w:rPr>
              <w:t>Strong model fit and source coverage; remaining uncertainty is unlikely to reverse the direction of the finding.</w:t>
            </w:r>
          </w:p>
        </w:tc>
        <w:tc>
          <w:tcPr>
            <w:tcW w:type="dxa" w:w="3312"/>
            <w:shd w:fill="F7F9FA"/>
            <w:tcMar>
              <w:top w:w="75" w:type="dxa"/>
              <w:start w:w="85" w:type="dxa"/>
              <w:bottom w:w="75" w:type="dxa"/>
              <w:end w:w="85" w:type="dxa"/>
            </w:tcMar>
            <w:vAlign w:val="top"/>
          </w:tcPr>
          <w:p>
            <w:pPr>
              <w:spacing w:after="0"/>
            </w:pPr>
            <w:r>
              <w:rPr>
                <w:rFonts w:ascii="Arial" w:hAnsi="Arial"/>
                <w:color w:val="24313A"/>
                <w:sz w:val="15"/>
              </w:rPr>
              <w:t>Publish with assumptions and sensitivity range.</w:t>
            </w:r>
          </w:p>
        </w:tc>
      </w:tr>
      <w:tr>
        <w:trPr>
          <w:cantSplit/>
        </w:trPr>
        <w:tc>
          <w:tcPr>
            <w:tcW w:type="dxa" w:w="1512"/>
            <w:tcMar>
              <w:top w:w="75" w:type="dxa"/>
              <w:start w:w="85" w:type="dxa"/>
              <w:bottom w:w="75" w:type="dxa"/>
              <w:end w:w="85" w:type="dxa"/>
            </w:tcMar>
            <w:vAlign w:val="top"/>
          </w:tcPr>
          <w:p>
            <w:pPr>
              <w:spacing w:after="0"/>
            </w:pPr>
            <w:r>
              <w:rPr>
                <w:rFonts w:ascii="Arial" w:hAnsi="Arial"/>
                <w:color w:val="24313A"/>
                <w:sz w:val="15"/>
              </w:rPr>
              <w:t>Moderate</w:t>
            </w:r>
          </w:p>
        </w:tc>
        <w:tc>
          <w:tcPr>
            <w:tcW w:type="dxa" w:w="4680"/>
            <w:tcMar>
              <w:top w:w="75" w:type="dxa"/>
              <w:start w:w="85" w:type="dxa"/>
              <w:bottom w:w="75" w:type="dxa"/>
              <w:end w:w="85" w:type="dxa"/>
            </w:tcMar>
            <w:vAlign w:val="top"/>
          </w:tcPr>
          <w:p>
            <w:pPr>
              <w:spacing w:after="0"/>
            </w:pPr>
            <w:r>
              <w:rPr>
                <w:rFonts w:ascii="Arial" w:hAnsi="Arial"/>
                <w:color w:val="24313A"/>
                <w:sz w:val="15"/>
              </w:rPr>
              <w:t>Material assumptions, missing data, or model disagreement could change magnitude or some subgroup results.</w:t>
            </w:r>
          </w:p>
        </w:tc>
        <w:tc>
          <w:tcPr>
            <w:tcW w:type="dxa" w:w="3312"/>
            <w:tcMar>
              <w:top w:w="75" w:type="dxa"/>
              <w:start w:w="85" w:type="dxa"/>
              <w:bottom w:w="75" w:type="dxa"/>
              <w:end w:w="85" w:type="dxa"/>
            </w:tcMar>
            <w:vAlign w:val="top"/>
          </w:tcPr>
          <w:p>
            <w:pPr>
              <w:spacing w:after="0"/>
            </w:pPr>
            <w:r>
              <w:rPr>
                <w:rFonts w:ascii="Arial" w:hAnsi="Arial"/>
                <w:color w:val="24313A"/>
                <w:sz w:val="15"/>
              </w:rPr>
              <w:t>Prominent caveat and specialist review.</w:t>
            </w:r>
          </w:p>
        </w:tc>
      </w:tr>
      <w:tr>
        <w:trPr>
          <w:cantSplit/>
        </w:trPr>
        <w:tc>
          <w:tcPr>
            <w:tcW w:type="dxa" w:w="1512"/>
            <w:shd w:fill="F7F9FA"/>
            <w:tcMar>
              <w:top w:w="75" w:type="dxa"/>
              <w:start w:w="85" w:type="dxa"/>
              <w:bottom w:w="75" w:type="dxa"/>
              <w:end w:w="85" w:type="dxa"/>
            </w:tcMar>
            <w:vAlign w:val="top"/>
          </w:tcPr>
          <w:p>
            <w:pPr>
              <w:spacing w:after="0"/>
            </w:pPr>
            <w:r>
              <w:rPr>
                <w:rFonts w:ascii="Arial" w:hAnsi="Arial"/>
                <w:color w:val="24313A"/>
                <w:sz w:val="15"/>
              </w:rPr>
              <w:t>Low</w:t>
            </w:r>
          </w:p>
        </w:tc>
        <w:tc>
          <w:tcPr>
            <w:tcW w:type="dxa" w:w="4680"/>
            <w:shd w:fill="F7F9FA"/>
            <w:tcMar>
              <w:top w:w="75" w:type="dxa"/>
              <w:start w:w="85" w:type="dxa"/>
              <w:bottom w:w="75" w:type="dxa"/>
              <w:end w:w="85" w:type="dxa"/>
            </w:tcMar>
            <w:vAlign w:val="top"/>
          </w:tcPr>
          <w:p>
            <w:pPr>
              <w:spacing w:after="0"/>
            </w:pPr>
            <w:r>
              <w:rPr>
                <w:rFonts w:ascii="Arial" w:hAnsi="Arial"/>
                <w:color w:val="24313A"/>
                <w:sz w:val="15"/>
              </w:rPr>
              <w:t>Preliminary text, ambiguous provision, sparse data, or unstable estimate.</w:t>
            </w:r>
          </w:p>
        </w:tc>
        <w:tc>
          <w:tcPr>
            <w:tcW w:type="dxa" w:w="3312"/>
            <w:shd w:fill="F7F9FA"/>
            <w:tcMar>
              <w:top w:w="75" w:type="dxa"/>
              <w:start w:w="85" w:type="dxa"/>
              <w:bottom w:w="75" w:type="dxa"/>
              <w:end w:w="85" w:type="dxa"/>
            </w:tcMar>
            <w:vAlign w:val="top"/>
          </w:tcPr>
          <w:p>
            <w:pPr>
              <w:spacing w:after="0"/>
            </w:pPr>
            <w:r>
              <w:rPr>
                <w:rFonts w:ascii="Arial" w:hAnsi="Arial"/>
                <w:color w:val="24313A"/>
                <w:sz w:val="15"/>
              </w:rPr>
              <w:t>Do not use in headline; mark as provisional.</w:t>
            </w:r>
          </w:p>
        </w:tc>
      </w:tr>
      <w:tr>
        <w:trPr>
          <w:cantSplit/>
        </w:trPr>
        <w:tc>
          <w:tcPr>
            <w:tcW w:type="dxa" w:w="1512"/>
            <w:tcMar>
              <w:top w:w="75" w:type="dxa"/>
              <w:start w:w="85" w:type="dxa"/>
              <w:bottom w:w="75" w:type="dxa"/>
              <w:end w:w="85" w:type="dxa"/>
            </w:tcMar>
            <w:vAlign w:val="top"/>
          </w:tcPr>
          <w:p>
            <w:pPr>
              <w:spacing w:after="0"/>
            </w:pPr>
            <w:r>
              <w:rPr>
                <w:rFonts w:ascii="Arial" w:hAnsi="Arial"/>
                <w:color w:val="24313A"/>
                <w:sz w:val="15"/>
              </w:rPr>
              <w:t>Unscorable</w:t>
            </w:r>
          </w:p>
        </w:tc>
        <w:tc>
          <w:tcPr>
            <w:tcW w:type="dxa" w:w="4680"/>
            <w:tcMar>
              <w:top w:w="75" w:type="dxa"/>
              <w:start w:w="85" w:type="dxa"/>
              <w:bottom w:w="75" w:type="dxa"/>
              <w:end w:w="85" w:type="dxa"/>
            </w:tcMar>
            <w:vAlign w:val="top"/>
          </w:tcPr>
          <w:p>
            <w:pPr>
              <w:spacing w:after="0"/>
            </w:pPr>
            <w:r>
              <w:rPr>
                <w:rFonts w:ascii="Arial" w:hAnsi="Arial"/>
                <w:color w:val="24313A"/>
                <w:sz w:val="15"/>
              </w:rPr>
              <w:t>The effect cannot currently be quantified responsibly.</w:t>
            </w:r>
          </w:p>
        </w:tc>
        <w:tc>
          <w:tcPr>
            <w:tcW w:type="dxa" w:w="3312"/>
            <w:tcMar>
              <w:top w:w="75" w:type="dxa"/>
              <w:start w:w="85" w:type="dxa"/>
              <w:bottom w:w="75" w:type="dxa"/>
              <w:end w:w="85" w:type="dxa"/>
            </w:tcMar>
            <w:vAlign w:val="top"/>
          </w:tcPr>
          <w:p>
            <w:pPr>
              <w:spacing w:after="0"/>
            </w:pPr>
            <w:r>
              <w:rPr>
                <w:rFonts w:ascii="Arial" w:hAnsi="Arial"/>
                <w:color w:val="24313A"/>
                <w:sz w:val="15"/>
              </w:rPr>
              <w:t>Explain what is known and what data or decisions are missing.</w:t>
            </w:r>
          </w:p>
        </w:tc>
      </w:tr>
    </w:tbl>
    <w:p>
      <w:pPr>
        <w:pStyle w:val="Heading2"/>
      </w:pPr>
      <w:r>
        <w:t>Evidence maturity and publication states</w:t>
      </w:r>
    </w:p>
    <w:p>
      <w:r>
        <w:t>Maturity belongs to individual claims, provisions, and results—not merely to an entire bill. A bill may be fully source verified while only a fraction of its interpretive or impact analysis has completed review.</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3293"/>
        <w:gridCol w:w="3293"/>
        <w:gridCol w:w="3293"/>
      </w:tblGrid>
      <w:tr>
        <w:trPr>
          <w:tblHeader w:val="true"/>
          <w:cantSplit/>
        </w:trPr>
        <w:tc>
          <w:tcPr>
            <w:tcW w:type="dxa" w:w="1800"/>
            <w:vAlign w:val="top"/>
            <w:shd w:fill="17324D"/>
            <w:tcMar>
              <w:top w:w="90" w:type="dxa"/>
              <w:start w:w="90" w:type="dxa"/>
              <w:bottom w:w="90" w:type="dxa"/>
              <w:end w:w="90" w:type="dxa"/>
            </w:tcMar>
          </w:tcPr>
          <w:p>
            <w:pPr>
              <w:spacing w:after="0"/>
              <w:jc w:val="left"/>
            </w:pPr>
            <w:r/>
            <w:r>
              <w:rPr>
                <w:rFonts w:ascii="Arial" w:hAnsi="Arial"/>
                <w:b/>
                <w:color w:val="FFFFFF"/>
                <w:sz w:val="16"/>
              </w:rPr>
              <w:t>State</w:t>
            </w:r>
          </w:p>
        </w:tc>
        <w:tc>
          <w:tcPr>
            <w:tcW w:type="dxa" w:w="5112"/>
            <w:vAlign w:val="top"/>
            <w:shd w:fill="17324D"/>
            <w:tcMar>
              <w:top w:w="90" w:type="dxa"/>
              <w:start w:w="90" w:type="dxa"/>
              <w:bottom w:w="90" w:type="dxa"/>
              <w:end w:w="90" w:type="dxa"/>
            </w:tcMar>
          </w:tcPr>
          <w:p>
            <w:pPr>
              <w:spacing w:after="0"/>
              <w:jc w:val="left"/>
            </w:pPr>
            <w:r/>
            <w:r>
              <w:rPr>
                <w:rFonts w:ascii="Arial" w:hAnsi="Arial"/>
                <w:b/>
                <w:color w:val="FFFFFF"/>
                <w:sz w:val="16"/>
              </w:rPr>
              <w:t>Meaning</w:t>
            </w:r>
          </w:p>
        </w:tc>
        <w:tc>
          <w:tcPr>
            <w:tcW w:type="dxa" w:w="3240"/>
            <w:vAlign w:val="top"/>
            <w:shd w:fill="17324D"/>
            <w:tcMar>
              <w:top w:w="90" w:type="dxa"/>
              <w:start w:w="90" w:type="dxa"/>
              <w:bottom w:w="90" w:type="dxa"/>
              <w:end w:w="90" w:type="dxa"/>
            </w:tcMar>
          </w:tcPr>
          <w:p>
            <w:pPr>
              <w:spacing w:after="0"/>
              <w:jc w:val="left"/>
            </w:pPr>
            <w:r/>
            <w:r>
              <w:rPr>
                <w:rFonts w:ascii="Arial" w:hAnsi="Arial"/>
                <w:b/>
                <w:color w:val="FFFFFF"/>
                <w:sz w:val="16"/>
              </w:rPr>
              <w:t>Public treatment</w:t>
            </w:r>
          </w:p>
        </w:tc>
      </w:tr>
      <w:tr>
        <w:trPr>
          <w:cantSplit/>
        </w:trPr>
        <w:tc>
          <w:tcPr>
            <w:tcW w:type="dxa" w:w="1800"/>
            <w:vAlign w:val="top"/>
            <w:tcMar>
              <w:top w:w="75" w:type="dxa"/>
              <w:start w:w="85" w:type="dxa"/>
              <w:bottom w:w="75" w:type="dxa"/>
              <w:end w:w="85" w:type="dxa"/>
            </w:tcMar>
          </w:tcPr>
          <w:p>
            <w:pPr>
              <w:spacing w:after="0"/>
              <w:jc w:val="left"/>
            </w:pPr>
            <w:r/>
            <w:r>
              <w:rPr>
                <w:rFonts w:ascii="Arial" w:hAnsi="Arial"/>
                <w:b w:val="0"/>
                <w:color w:val="24313A"/>
                <w:sz w:val="16"/>
              </w:rPr>
              <w:t>Source Verified</w:t>
            </w:r>
          </w:p>
        </w:tc>
        <w:tc>
          <w:tcPr>
            <w:tcW w:type="dxa" w:w="5112"/>
            <w:vAlign w:val="top"/>
            <w:tcMar>
              <w:top w:w="75" w:type="dxa"/>
              <w:start w:w="85" w:type="dxa"/>
              <w:bottom w:w="75" w:type="dxa"/>
              <w:end w:w="85" w:type="dxa"/>
            </w:tcMar>
          </w:tcPr>
          <w:p>
            <w:pPr>
              <w:spacing w:after="0"/>
              <w:jc w:val="left"/>
            </w:pPr>
            <w:r/>
            <w:r>
              <w:rPr>
                <w:rFonts w:ascii="Arial" w:hAnsi="Arial"/>
                <w:b w:val="0"/>
                <w:color w:val="24313A"/>
                <w:sz w:val="16"/>
              </w:rPr>
              <w:t>The authoritative document, version, source identity, retrieval record, and content hash have passed source controls.</w:t>
            </w:r>
          </w:p>
        </w:tc>
        <w:tc>
          <w:tcPr>
            <w:tcW w:type="dxa" w:w="3240"/>
            <w:vAlign w:val="top"/>
            <w:tcMar>
              <w:top w:w="75" w:type="dxa"/>
              <w:start w:w="85" w:type="dxa"/>
              <w:bottom w:w="75" w:type="dxa"/>
              <w:end w:w="85" w:type="dxa"/>
            </w:tcMar>
          </w:tcPr>
          <w:p>
            <w:pPr>
              <w:spacing w:after="0"/>
              <w:jc w:val="left"/>
            </w:pPr>
            <w:r/>
            <w:r>
              <w:rPr>
                <w:rFonts w:ascii="Arial" w:hAnsi="Arial"/>
                <w:b w:val="0"/>
                <w:color w:val="24313A"/>
                <w:sz w:val="16"/>
              </w:rPr>
              <w:t>Publish factual source information.</w:t>
            </w:r>
          </w:p>
        </w:tc>
      </w:tr>
      <w:tr>
        <w:trPr>
          <w:cantSplit/>
        </w:trPr>
        <w:tc>
          <w:tcPr>
            <w:tcW w:type="dxa" w:w="1800"/>
            <w:vAlign w:val="top"/>
            <w:tcMar>
              <w:top w:w="75" w:type="dxa"/>
              <w:start w:w="85" w:type="dxa"/>
              <w:bottom w:w="75" w:type="dxa"/>
              <w:end w:w="85" w:type="dxa"/>
            </w:tcMar>
            <w:shd w:fill="F7F9FA"/>
          </w:tcPr>
          <w:p>
            <w:pPr>
              <w:spacing w:after="0"/>
              <w:jc w:val="left"/>
            </w:pPr>
            <w:r/>
            <w:r>
              <w:rPr>
                <w:rFonts w:ascii="Arial" w:hAnsi="Arial"/>
                <w:b w:val="0"/>
                <w:color w:val="24313A"/>
                <w:sz w:val="16"/>
              </w:rPr>
              <w:t>Machine Parsed</w:t>
            </w:r>
          </w:p>
        </w:tc>
        <w:tc>
          <w:tcPr>
            <w:tcW w:type="dxa" w:w="5112"/>
            <w:vAlign w:val="top"/>
            <w:tcMar>
              <w:top w:w="75" w:type="dxa"/>
              <w:start w:w="85" w:type="dxa"/>
              <w:bottom w:w="75" w:type="dxa"/>
              <w:end w:w="85" w:type="dxa"/>
            </w:tcMar>
            <w:shd w:fill="F7F9FA"/>
          </w:tcPr>
          <w:p>
            <w:pPr>
              <w:spacing w:after="0"/>
              <w:jc w:val="left"/>
            </w:pPr>
            <w:r/>
            <w:r>
              <w:rPr>
                <w:rFonts w:ascii="Arial" w:hAnsi="Arial"/>
                <w:b w:val="0"/>
                <w:color w:val="24313A"/>
                <w:sz w:val="16"/>
              </w:rPr>
              <w:t>Sections, amounts, dates, citations, definitions, and candidate provisions were structured automatically.</w:t>
            </w:r>
          </w:p>
        </w:tc>
        <w:tc>
          <w:tcPr>
            <w:tcW w:type="dxa" w:w="3240"/>
            <w:vAlign w:val="top"/>
            <w:tcMar>
              <w:top w:w="75" w:type="dxa"/>
              <w:start w:w="85" w:type="dxa"/>
              <w:bottom w:w="75" w:type="dxa"/>
              <w:end w:w="85" w:type="dxa"/>
            </w:tcMar>
            <w:shd w:fill="F7F9FA"/>
          </w:tcPr>
          <w:p>
            <w:pPr>
              <w:spacing w:after="0"/>
              <w:jc w:val="left"/>
            </w:pPr>
            <w:r/>
            <w:r>
              <w:rPr>
                <w:rFonts w:ascii="Arial" w:hAnsi="Arial"/>
                <w:b w:val="0"/>
                <w:color w:val="24313A"/>
                <w:sz w:val="16"/>
              </w:rPr>
              <w:t>Publish structured extraction with machine-parsed label.</w:t>
            </w:r>
          </w:p>
        </w:tc>
      </w:tr>
      <w:tr>
        <w:trPr>
          <w:cantSplit/>
        </w:trPr>
        <w:tc>
          <w:tcPr>
            <w:tcW w:type="dxa" w:w="1800"/>
            <w:vAlign w:val="top"/>
            <w:tcMar>
              <w:top w:w="75" w:type="dxa"/>
              <w:start w:w="85" w:type="dxa"/>
              <w:bottom w:w="75" w:type="dxa"/>
              <w:end w:w="85" w:type="dxa"/>
            </w:tcMar>
          </w:tcPr>
          <w:p>
            <w:pPr>
              <w:spacing w:after="0"/>
              <w:jc w:val="left"/>
            </w:pPr>
            <w:r/>
            <w:r>
              <w:rPr>
                <w:rFonts w:ascii="Arial" w:hAnsi="Arial"/>
                <w:b w:val="0"/>
                <w:color w:val="24313A"/>
                <w:sz w:val="16"/>
              </w:rPr>
              <w:t>Provisional Analysis</w:t>
            </w:r>
          </w:p>
        </w:tc>
        <w:tc>
          <w:tcPr>
            <w:tcW w:type="dxa" w:w="5112"/>
            <w:vAlign w:val="top"/>
            <w:tcMar>
              <w:top w:w="75" w:type="dxa"/>
              <w:start w:w="85" w:type="dxa"/>
              <w:bottom w:w="75" w:type="dxa"/>
              <w:end w:w="85" w:type="dxa"/>
            </w:tcMar>
          </w:tcPr>
          <w:p>
            <w:pPr>
              <w:spacing w:after="0"/>
              <w:jc w:val="left"/>
            </w:pPr>
            <w:r/>
            <w:r>
              <w:rPr>
                <w:rFonts w:ascii="Arial" w:hAnsi="Arial"/>
                <w:b w:val="0"/>
                <w:color w:val="24313A"/>
                <w:sz w:val="16"/>
              </w:rPr>
              <w:t>Automated summaries, classifications, flags, or estimates passed defined controls but have not received analyst approval.</w:t>
            </w:r>
          </w:p>
        </w:tc>
        <w:tc>
          <w:tcPr>
            <w:tcW w:type="dxa" w:w="3240"/>
            <w:vAlign w:val="top"/>
            <w:tcMar>
              <w:top w:w="75" w:type="dxa"/>
              <w:start w:w="85" w:type="dxa"/>
              <w:bottom w:w="75" w:type="dxa"/>
              <w:end w:w="85" w:type="dxa"/>
            </w:tcMar>
          </w:tcPr>
          <w:p>
            <w:pPr>
              <w:spacing w:after="0"/>
              <w:jc w:val="left"/>
            </w:pPr>
            <w:r/>
            <w:r>
              <w:rPr>
                <w:rFonts w:ascii="Arial" w:hAnsi="Arial"/>
                <w:b w:val="0"/>
                <w:color w:val="24313A"/>
                <w:sz w:val="16"/>
              </w:rPr>
              <w:t>Publish with prominent provisional status, assumptions, and limitations.</w:t>
            </w:r>
          </w:p>
        </w:tc>
      </w:tr>
      <w:tr>
        <w:trPr>
          <w:cantSplit/>
        </w:trPr>
        <w:tc>
          <w:tcPr>
            <w:tcW w:type="dxa" w:w="1800"/>
            <w:vAlign w:val="top"/>
            <w:tcMar>
              <w:top w:w="75" w:type="dxa"/>
              <w:start w:w="85" w:type="dxa"/>
              <w:bottom w:w="75" w:type="dxa"/>
              <w:end w:w="85" w:type="dxa"/>
            </w:tcMar>
            <w:shd w:fill="F7F9FA"/>
          </w:tcPr>
          <w:p>
            <w:pPr>
              <w:spacing w:after="0"/>
              <w:jc w:val="left"/>
            </w:pPr>
            <w:r/>
            <w:r>
              <w:rPr>
                <w:rFonts w:ascii="Arial" w:hAnsi="Arial"/>
                <w:b w:val="0"/>
                <w:color w:val="24313A"/>
                <w:sz w:val="16"/>
              </w:rPr>
              <w:t>Analyst Verified</w:t>
            </w:r>
          </w:p>
        </w:tc>
        <w:tc>
          <w:tcPr>
            <w:tcW w:type="dxa" w:w="5112"/>
            <w:vAlign w:val="top"/>
            <w:tcMar>
              <w:top w:w="75" w:type="dxa"/>
              <w:start w:w="85" w:type="dxa"/>
              <w:bottom w:w="75" w:type="dxa"/>
              <w:end w:w="85" w:type="dxa"/>
            </w:tcMar>
            <w:shd w:fill="F7F9FA"/>
          </w:tcPr>
          <w:p>
            <w:pPr>
              <w:spacing w:after="0"/>
              <w:jc w:val="left"/>
            </w:pPr>
            <w:r/>
            <w:r>
              <w:rPr>
                <w:rFonts w:ascii="Arial" w:hAnsi="Arial"/>
                <w:b w:val="0"/>
                <w:color w:val="24313A"/>
                <w:sz w:val="16"/>
              </w:rPr>
              <w:t>A qualified reviewer checked source support, interpretation, assumptions, and displayed result.</w:t>
            </w:r>
          </w:p>
        </w:tc>
        <w:tc>
          <w:tcPr>
            <w:tcW w:type="dxa" w:w="3240"/>
            <w:vAlign w:val="top"/>
            <w:tcMar>
              <w:top w:w="75" w:type="dxa"/>
              <w:start w:w="85" w:type="dxa"/>
              <w:bottom w:w="75" w:type="dxa"/>
              <w:end w:w="85" w:type="dxa"/>
            </w:tcMar>
            <w:shd w:fill="F7F9FA"/>
          </w:tcPr>
          <w:p>
            <w:pPr>
              <w:spacing w:after="0"/>
              <w:jc w:val="left"/>
            </w:pPr>
            <w:r/>
            <w:r>
              <w:rPr>
                <w:rFonts w:ascii="Arial" w:hAnsi="Arial"/>
                <w:b w:val="0"/>
                <w:color w:val="24313A"/>
                <w:sz w:val="16"/>
              </w:rPr>
              <w:t>Publish as verified and retain reviewer record.</w:t>
            </w:r>
          </w:p>
        </w:tc>
      </w:tr>
      <w:tr>
        <w:trPr>
          <w:cantSplit/>
        </w:trPr>
        <w:tc>
          <w:tcPr>
            <w:tcW w:type="dxa" w:w="1800"/>
            <w:vAlign w:val="top"/>
            <w:tcMar>
              <w:top w:w="75" w:type="dxa"/>
              <w:start w:w="85" w:type="dxa"/>
              <w:bottom w:w="75" w:type="dxa"/>
              <w:end w:w="85" w:type="dxa"/>
            </w:tcMar>
          </w:tcPr>
          <w:p>
            <w:pPr>
              <w:spacing w:after="0"/>
              <w:jc w:val="left"/>
            </w:pPr>
            <w:r/>
            <w:r>
              <w:rPr>
                <w:rFonts w:ascii="Arial" w:hAnsi="Arial"/>
                <w:b w:val="0"/>
                <w:color w:val="24313A"/>
                <w:sz w:val="16"/>
              </w:rPr>
              <w:t>Expert Reviewed</w:t>
            </w:r>
          </w:p>
        </w:tc>
        <w:tc>
          <w:tcPr>
            <w:tcW w:type="dxa" w:w="5112"/>
            <w:vAlign w:val="top"/>
            <w:tcMar>
              <w:top w:w="75" w:type="dxa"/>
              <w:start w:w="85" w:type="dxa"/>
              <w:bottom w:w="75" w:type="dxa"/>
              <w:end w:w="85" w:type="dxa"/>
            </w:tcMar>
          </w:tcPr>
          <w:p>
            <w:pPr>
              <w:spacing w:after="0"/>
              <w:jc w:val="left"/>
            </w:pPr>
            <w:r/>
            <w:r>
              <w:rPr>
                <w:rFonts w:ascii="Arial" w:hAnsi="Arial"/>
                <w:b w:val="0"/>
                <w:color w:val="24313A"/>
                <w:sz w:val="16"/>
              </w:rPr>
              <w:t>A specialist reviewed a difficult legal, tax, economic, program, or reputational question.</w:t>
            </w:r>
          </w:p>
        </w:tc>
        <w:tc>
          <w:tcPr>
            <w:tcW w:type="dxa" w:w="3240"/>
            <w:vAlign w:val="top"/>
            <w:tcMar>
              <w:top w:w="75" w:type="dxa"/>
              <w:start w:w="85" w:type="dxa"/>
              <w:bottom w:w="75" w:type="dxa"/>
              <w:end w:w="85" w:type="dxa"/>
            </w:tcMar>
          </w:tcPr>
          <w:p>
            <w:pPr>
              <w:spacing w:after="0"/>
              <w:jc w:val="left"/>
            </w:pPr>
            <w:r/>
            <w:r>
              <w:rPr>
                <w:rFonts w:ascii="Arial" w:hAnsi="Arial"/>
                <w:b w:val="0"/>
                <w:color w:val="24313A"/>
                <w:sz w:val="16"/>
              </w:rPr>
              <w:t>Display expert-review scope and any dissent.</w:t>
            </w:r>
          </w:p>
        </w:tc>
      </w:tr>
      <w:tr>
        <w:trPr>
          <w:cantSplit/>
        </w:trPr>
        <w:tc>
          <w:tcPr>
            <w:tcW w:type="dxa" w:w="1800"/>
            <w:vAlign w:val="top"/>
            <w:tcMar>
              <w:top w:w="75" w:type="dxa"/>
              <w:start w:w="85" w:type="dxa"/>
              <w:bottom w:w="75" w:type="dxa"/>
              <w:end w:w="85" w:type="dxa"/>
            </w:tcMar>
            <w:shd w:fill="F7F9FA"/>
          </w:tcPr>
          <w:p>
            <w:pPr>
              <w:spacing w:after="0"/>
              <w:jc w:val="left"/>
            </w:pPr>
            <w:r/>
            <w:r>
              <w:rPr>
                <w:rFonts w:ascii="Arial" w:hAnsi="Arial"/>
                <w:b w:val="0"/>
                <w:color w:val="24313A"/>
                <w:sz w:val="16"/>
              </w:rPr>
              <w:t>Corrected / Superseded</w:t>
            </w:r>
          </w:p>
        </w:tc>
        <w:tc>
          <w:tcPr>
            <w:tcW w:type="dxa" w:w="5112"/>
            <w:vAlign w:val="top"/>
            <w:tcMar>
              <w:top w:w="75" w:type="dxa"/>
              <w:start w:w="85" w:type="dxa"/>
              <w:bottom w:w="75" w:type="dxa"/>
              <w:end w:w="85" w:type="dxa"/>
            </w:tcMar>
            <w:shd w:fill="F7F9FA"/>
          </w:tcPr>
          <w:p>
            <w:pPr>
              <w:spacing w:after="0"/>
              <w:jc w:val="left"/>
            </w:pPr>
            <w:r/>
            <w:r>
              <w:rPr>
                <w:rFonts w:ascii="Arial" w:hAnsi="Arial"/>
                <w:b w:val="0"/>
                <w:color w:val="24313A"/>
                <w:sz w:val="16"/>
              </w:rPr>
              <w:t>A newer source, rule, model, or review decision replaced the prior result.</w:t>
            </w:r>
          </w:p>
        </w:tc>
        <w:tc>
          <w:tcPr>
            <w:tcW w:type="dxa" w:w="3240"/>
            <w:vAlign w:val="top"/>
            <w:tcMar>
              <w:top w:w="75" w:type="dxa"/>
              <w:start w:w="85" w:type="dxa"/>
              <w:bottom w:w="75" w:type="dxa"/>
              <w:end w:w="85" w:type="dxa"/>
            </w:tcMar>
            <w:shd w:fill="F7F9FA"/>
          </w:tcPr>
          <w:p>
            <w:pPr>
              <w:spacing w:after="0"/>
              <w:jc w:val="left"/>
            </w:pPr>
            <w:r/>
            <w:r>
              <w:rPr>
                <w:rFonts w:ascii="Arial" w:hAnsi="Arial"/>
                <w:b w:val="0"/>
                <w:color w:val="24313A"/>
                <w:sz w:val="16"/>
              </w:rPr>
              <w:t>Preserve the former state and show the correction trail.</w:t>
            </w:r>
          </w:p>
        </w:tc>
      </w:tr>
    </w:tbl>
    <w:p>
      <w:pPr>
        <w:pStyle w:val="Heading2"/>
      </w:pPr>
      <w:r>
        <w:t>Publication lanes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3293"/>
        <w:gridCol w:w="3293"/>
        <w:gridCol w:w="3293"/>
      </w:tblGrid>
      <w:tr>
        <w:trPr>
          <w:tblHeader w:val="true"/>
          <w:cantSplit/>
        </w:trPr>
        <w:tc>
          <w:tcPr>
            <w:tcW w:type="dxa" w:w="1944"/>
            <w:vAlign w:val="top"/>
            <w:shd w:fill="17324D"/>
            <w:tcMar>
              <w:top w:w="90" w:type="dxa"/>
              <w:start w:w="90" w:type="dxa"/>
              <w:bottom w:w="90" w:type="dxa"/>
              <w:end w:w="90" w:type="dxa"/>
            </w:tcMar>
          </w:tcPr>
          <w:p>
            <w:pPr>
              <w:spacing w:after="0"/>
              <w:jc w:val="left"/>
            </w:pPr>
            <w:r/>
            <w:r>
              <w:rPr>
                <w:rFonts w:ascii="Arial" w:hAnsi="Arial"/>
                <w:b/>
                <w:color w:val="FFFFFF"/>
                <w:sz w:val="16"/>
              </w:rPr>
              <w:t>Lane</w:t>
            </w:r>
          </w:p>
        </w:tc>
        <w:tc>
          <w:tcPr>
            <w:tcW w:type="dxa" w:w="5112"/>
            <w:vAlign w:val="top"/>
            <w:shd w:fill="17324D"/>
            <w:tcMar>
              <w:top w:w="90" w:type="dxa"/>
              <w:start w:w="90" w:type="dxa"/>
              <w:bottom w:w="90" w:type="dxa"/>
              <w:end w:w="90" w:type="dxa"/>
            </w:tcMar>
          </w:tcPr>
          <w:p>
            <w:pPr>
              <w:spacing w:after="0"/>
              <w:jc w:val="left"/>
            </w:pPr>
            <w:r/>
            <w:r>
              <w:rPr>
                <w:rFonts w:ascii="Arial" w:hAnsi="Arial"/>
                <w:b/>
                <w:color w:val="FFFFFF"/>
                <w:sz w:val="16"/>
              </w:rPr>
              <w:t>Content</w:t>
            </w:r>
          </w:p>
        </w:tc>
        <w:tc>
          <w:tcPr>
            <w:tcW w:type="dxa" w:w="3096"/>
            <w:vAlign w:val="top"/>
            <w:shd w:fill="17324D"/>
            <w:tcMar>
              <w:top w:w="90" w:type="dxa"/>
              <w:start w:w="90" w:type="dxa"/>
              <w:bottom w:w="90" w:type="dxa"/>
              <w:end w:w="90" w:type="dxa"/>
            </w:tcMar>
          </w:tcPr>
          <w:p>
            <w:pPr>
              <w:spacing w:after="0"/>
              <w:jc w:val="left"/>
            </w:pPr>
            <w:r/>
            <w:r>
              <w:rPr>
                <w:rFonts w:ascii="Arial" w:hAnsi="Arial"/>
                <w:b/>
                <w:color w:val="FFFFFF"/>
                <w:sz w:val="16"/>
              </w:rPr>
              <w:t>Default speed and review</w:t>
            </w:r>
          </w:p>
        </w:tc>
      </w:tr>
      <w:tr>
        <w:trPr>
          <w:cantSplit/>
        </w:trPr>
        <w:tc>
          <w:tcPr>
            <w:tcW w:type="dxa" w:w="1944"/>
            <w:vAlign w:val="top"/>
            <w:tcMar>
              <w:top w:w="75" w:type="dxa"/>
              <w:start w:w="85" w:type="dxa"/>
              <w:bottom w:w="75" w:type="dxa"/>
              <w:end w:w="85" w:type="dxa"/>
            </w:tcMar>
          </w:tcPr>
          <w:p>
            <w:pPr>
              <w:spacing w:after="0"/>
              <w:jc w:val="left"/>
            </w:pPr>
            <w:r/>
            <w:r>
              <w:rPr>
                <w:rFonts w:ascii="Arial" w:hAnsi="Arial"/>
                <w:b w:val="0"/>
                <w:color w:val="24313A"/>
                <w:sz w:val="16"/>
              </w:rPr>
              <w:t>Factual</w:t>
            </w:r>
          </w:p>
        </w:tc>
        <w:tc>
          <w:tcPr>
            <w:tcW w:type="dxa" w:w="5112"/>
            <w:vAlign w:val="top"/>
            <w:tcMar>
              <w:top w:w="75" w:type="dxa"/>
              <w:start w:w="85" w:type="dxa"/>
              <w:bottom w:w="75" w:type="dxa"/>
              <w:end w:w="85" w:type="dxa"/>
            </w:tcMar>
          </w:tcPr>
          <w:p>
            <w:pPr>
              <w:spacing w:after="0"/>
              <w:jc w:val="left"/>
            </w:pPr>
            <w:r/>
            <w:r>
              <w:rPr>
                <w:rFonts w:ascii="Arial" w:hAnsi="Arial"/>
                <w:b w:val="0"/>
                <w:color w:val="24313A"/>
                <w:sz w:val="16"/>
              </w:rPr>
              <w:t>Official text, versions, actions, sponsors, dates, amounts, hashes, and exact text changes.</w:t>
            </w:r>
          </w:p>
        </w:tc>
        <w:tc>
          <w:tcPr>
            <w:tcW w:type="dxa" w:w="3096"/>
            <w:vAlign w:val="top"/>
            <w:tcMar>
              <w:top w:w="75" w:type="dxa"/>
              <w:start w:w="85" w:type="dxa"/>
              <w:bottom w:w="75" w:type="dxa"/>
              <w:end w:w="85" w:type="dxa"/>
            </w:tcMar>
          </w:tcPr>
          <w:p>
            <w:pPr>
              <w:spacing w:after="0"/>
              <w:jc w:val="left"/>
            </w:pPr>
            <w:r/>
            <w:r>
              <w:rPr>
                <w:rFonts w:ascii="Arial" w:hAnsi="Arial"/>
                <w:b w:val="0"/>
                <w:color w:val="24313A"/>
                <w:sz w:val="16"/>
              </w:rPr>
              <w:t>Publish after source and schema validation.</w:t>
            </w:r>
          </w:p>
        </w:tc>
      </w:tr>
      <w:tr>
        <w:trPr>
          <w:cantSplit/>
        </w:trPr>
        <w:tc>
          <w:tcPr>
            <w:tcW w:type="dxa" w:w="1944"/>
            <w:vAlign w:val="top"/>
            <w:tcMar>
              <w:top w:w="75" w:type="dxa"/>
              <w:start w:w="85" w:type="dxa"/>
              <w:bottom w:w="75" w:type="dxa"/>
              <w:end w:w="85" w:type="dxa"/>
            </w:tcMar>
            <w:shd w:fill="F7F9FA"/>
          </w:tcPr>
          <w:p>
            <w:pPr>
              <w:spacing w:after="0"/>
              <w:jc w:val="left"/>
            </w:pPr>
            <w:r/>
            <w:r>
              <w:rPr>
                <w:rFonts w:ascii="Arial" w:hAnsi="Arial"/>
                <w:b w:val="0"/>
                <w:color w:val="24313A"/>
                <w:sz w:val="16"/>
              </w:rPr>
              <w:t>Provisional analytical</w:t>
            </w:r>
          </w:p>
        </w:tc>
        <w:tc>
          <w:tcPr>
            <w:tcW w:type="dxa" w:w="5112"/>
            <w:vAlign w:val="top"/>
            <w:tcMar>
              <w:top w:w="75" w:type="dxa"/>
              <w:start w:w="85" w:type="dxa"/>
              <w:bottom w:w="75" w:type="dxa"/>
              <w:end w:w="85" w:type="dxa"/>
            </w:tcMar>
            <w:shd w:fill="F7F9FA"/>
          </w:tcPr>
          <w:p>
            <w:pPr>
              <w:spacing w:after="0"/>
              <w:jc w:val="left"/>
            </w:pPr>
            <w:r/>
            <w:r>
              <w:rPr>
                <w:rFonts w:ascii="Arial" w:hAnsi="Arial"/>
                <w:b w:val="0"/>
                <w:color w:val="24313A"/>
                <w:sz w:val="16"/>
              </w:rPr>
              <w:t>Automated summaries, classifications, affected-group candidates, structural flags, and bounded scenario outputs.</w:t>
            </w:r>
          </w:p>
        </w:tc>
        <w:tc>
          <w:tcPr>
            <w:tcW w:type="dxa" w:w="3096"/>
            <w:vAlign w:val="top"/>
            <w:tcMar>
              <w:top w:w="75" w:type="dxa"/>
              <w:start w:w="85" w:type="dxa"/>
              <w:bottom w:w="75" w:type="dxa"/>
              <w:end w:w="85" w:type="dxa"/>
            </w:tcMar>
            <w:shd w:fill="F7F9FA"/>
          </w:tcPr>
          <w:p>
            <w:pPr>
              <w:spacing w:after="0"/>
              <w:jc w:val="left"/>
            </w:pPr>
            <w:r/>
            <w:r>
              <w:rPr>
                <w:rFonts w:ascii="Arial" w:hAnsi="Arial"/>
                <w:b w:val="0"/>
                <w:color w:val="24313A"/>
                <w:sz w:val="16"/>
              </w:rPr>
              <w:t>Publish rapidly when controls pass; escalate by risk.</w:t>
            </w:r>
          </w:p>
        </w:tc>
      </w:tr>
      <w:tr>
        <w:trPr>
          <w:cantSplit/>
        </w:trPr>
        <w:tc>
          <w:tcPr>
            <w:tcW w:type="dxa" w:w="1944"/>
            <w:vAlign w:val="top"/>
            <w:tcMar>
              <w:top w:w="75" w:type="dxa"/>
              <w:start w:w="85" w:type="dxa"/>
              <w:bottom w:w="75" w:type="dxa"/>
              <w:end w:w="85" w:type="dxa"/>
            </w:tcMar>
          </w:tcPr>
          <w:p>
            <w:pPr>
              <w:spacing w:after="0"/>
              <w:jc w:val="left"/>
            </w:pPr>
            <w:r/>
            <w:r>
              <w:rPr>
                <w:rFonts w:ascii="Arial" w:hAnsi="Arial"/>
                <w:b w:val="0"/>
                <w:color w:val="24313A"/>
                <w:sz w:val="16"/>
              </w:rPr>
              <w:t>Verified impact</w:t>
            </w:r>
          </w:p>
        </w:tc>
        <w:tc>
          <w:tcPr>
            <w:tcW w:type="dxa" w:w="5112"/>
            <w:vAlign w:val="top"/>
            <w:tcMar>
              <w:top w:w="75" w:type="dxa"/>
              <w:start w:w="85" w:type="dxa"/>
              <w:bottom w:w="75" w:type="dxa"/>
              <w:end w:w="85" w:type="dxa"/>
            </w:tcMar>
          </w:tcPr>
          <w:p>
            <w:pPr>
              <w:spacing w:after="0"/>
              <w:jc w:val="left"/>
            </w:pPr>
            <w:r/>
            <w:r>
              <w:rPr>
                <w:rFonts w:ascii="Arial" w:hAnsi="Arial"/>
                <w:b w:val="0"/>
                <w:color w:val="24313A"/>
                <w:sz w:val="16"/>
              </w:rPr>
              <w:t>Reviewed household, distributional, fiscal, incidence, beneficiary, or expert findings.</w:t>
            </w:r>
          </w:p>
        </w:tc>
        <w:tc>
          <w:tcPr>
            <w:tcW w:type="dxa" w:w="3096"/>
            <w:vAlign w:val="top"/>
            <w:tcMar>
              <w:top w:w="75" w:type="dxa"/>
              <w:start w:w="85" w:type="dxa"/>
              <w:bottom w:w="75" w:type="dxa"/>
              <w:end w:w="85" w:type="dxa"/>
            </w:tcMar>
          </w:tcPr>
          <w:p>
            <w:pPr>
              <w:spacing w:after="0"/>
              <w:jc w:val="left"/>
            </w:pPr>
            <w:r/>
            <w:r>
              <w:rPr>
                <w:rFonts w:ascii="Arial" w:hAnsi="Arial"/>
                <w:b w:val="0"/>
                <w:color w:val="24313A"/>
                <w:sz w:val="16"/>
              </w:rPr>
              <w:t>Publish after required analyst or specialist review.</w:t>
            </w:r>
          </w:p>
        </w:tc>
      </w:tr>
    </w:tbl>
    <w:p>
      <w:bookmarkStart w:id="50" w:name="experience"/>
      <w:pPr>
        <w:pStyle w:val="Heading1"/>
      </w:pPr>
      <w:r>
        <w:t>5. Core product experiences</w:t>
      </w:r>
      <w:bookmarkEnd w:id="50"/>
    </w:p>
    <w:p>
      <w:pPr>
        <w:pStyle w:val="Heading2"/>
      </w:pPr>
      <w:r>
        <w:t>5.1 Bill evidence page</w:t>
      </w:r>
    </w:p>
    <w:p>
      <w:pPr>
        <w:spacing w:after="120" w:line="259" w:lineRule="auto"/>
      </w:pPr>
      <w:r>
        <w:rPr>
          <w:rFonts w:ascii="Arial" w:hAnsi="Arial"/>
          <w:color w:val="24313A"/>
          <w:sz w:val="19"/>
        </w:rPr>
        <w:t>The bill page is the stable hub for identity, status, versions, sponsors, committees, official estimates, major provisions, and public-impact findings. It must make the current analyzed version unmistakable. Claim- and provision-level maturity must be visible so users can distinguish source-verified facts, provisional analysis, and reviewed findings.</w:t>
      </w:r>
    </w:p>
    <w:p>
      <w:pPr>
        <w:pStyle w:val="ListBullet"/>
        <w:spacing w:after="60"/>
        <w:ind w:left="0"/>
      </w:pPr>
      <w:r>
        <w:rPr>
          <w:rFonts w:ascii="Arial" w:hAnsi="Arial"/>
          <w:color w:val="24313A"/>
        </w:rPr>
        <w:t>Version timeline with official labels and publication timestamps.</w:t>
      </w:r>
    </w:p>
    <w:p>
      <w:pPr>
        <w:pStyle w:val="ListBullet"/>
        <w:spacing w:after="60"/>
        <w:ind w:left="0"/>
      </w:pPr>
      <w:r>
        <w:rPr>
          <w:rFonts w:ascii="Arial" w:hAnsi="Arial"/>
          <w:color w:val="24313A"/>
        </w:rPr>
        <w:t>Major changes since the prior version, ranked by expected materiality—not merely word count.</w:t>
      </w:r>
    </w:p>
    <w:p>
      <w:pPr>
        <w:pStyle w:val="ListBullet"/>
        <w:spacing w:after="60"/>
        <w:ind w:left="0"/>
      </w:pPr>
      <w:r>
        <w:rPr>
          <w:rFonts w:ascii="Arial" w:hAnsi="Arial"/>
          <w:color w:val="24313A"/>
        </w:rPr>
        <w:t>Provision cards showing who qualifies, who pays, effective dates, sunsets, agencies, and estimated effects.</w:t>
      </w:r>
    </w:p>
    <w:p>
      <w:pPr>
        <w:pStyle w:val="ListBullet"/>
        <w:spacing w:after="60"/>
        <w:ind w:left="0"/>
      </w:pPr>
      <w:r>
        <w:rPr>
          <w:rFonts w:ascii="Arial" w:hAnsi="Arial"/>
          <w:color w:val="24313A"/>
        </w:rPr>
        <w:t>Official cost estimates and independent results displayed side by side, never blended.</w:t>
      </w:r>
    </w:p>
    <w:p>
      <w:pPr>
        <w:pStyle w:val="ListBullet"/>
        <w:spacing w:after="60"/>
        <w:ind w:left="0"/>
      </w:pPr>
      <w:r>
        <w:rPr>
          <w:rFonts w:ascii="Arial" w:hAnsi="Arial"/>
          <w:color w:val="24313A"/>
        </w:rPr>
        <w:t>Sources, calculation trace, methodology version, confidence, reviewer, and correction status.</w:t>
      </w:r>
    </w:p>
    <w:p>
      <w:pPr>
        <w:pStyle w:val="ListBullet"/>
        <w:spacing w:after="60"/>
        <w:ind w:left="0"/>
      </w:pPr>
      <w:r>
        <w:rPr>
          <w:rFonts w:ascii="Arial" w:hAnsi="Arial"/>
          <w:color w:val="24313A"/>
        </w:rPr>
        <w:t>Download options: human-readable report, machine-readable provision data, calculation package, and source snapshot metadata.</w:t>
      </w:r>
    </w:p>
    <w:p>
      <w:pPr>
        <w:pStyle w:val="Heading2"/>
      </w:pPr>
      <w:r>
        <w:t>5.2 “What changed?” comparison</w:t>
      </w:r>
    </w:p>
    <w:p>
      <w:pPr>
        <w:spacing w:after="120" w:line="259" w:lineRule="auto"/>
      </w:pPr>
      <w:r>
        <w:rPr>
          <w:rFonts w:ascii="Arial" w:hAnsi="Arial"/>
          <w:color w:val="24313A"/>
          <w:sz w:val="19"/>
        </w:rPr>
        <w:t>Traditional redlines are necessary but insufficient. The comparison experience should pair legal text differences with a semantic explanation of changed rules.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1800"/>
            <w:shd w:fill="17324D"/>
            <w:tcMar>
              <w:top w:w="90" w:type="dxa"/>
              <w:start w:w="90" w:type="dxa"/>
              <w:bottom w:w="90" w:type="dxa"/>
              <w:end w:w="90" w:type="dxa"/>
            </w:tcMar>
            <w:vAlign w:val="center"/>
          </w:tcPr>
          <w:p>
            <w:pPr>
              <w:jc w:val="left"/>
            </w:pPr>
            <w:r>
              <w:rPr>
                <w:rFonts w:ascii="Arial" w:hAnsi="Arial"/>
                <w:b/>
                <w:color w:val="FFFFFF"/>
                <w:sz w:val="16"/>
              </w:rPr>
              <w:t>Layer</w:t>
            </w:r>
          </w:p>
        </w:tc>
        <w:tc>
          <w:tcPr>
            <w:tcW w:type="dxa" w:w="7704"/>
            <w:shd w:fill="17324D"/>
            <w:tcMar>
              <w:top w:w="90" w:type="dxa"/>
              <w:start w:w="90" w:type="dxa"/>
              <w:bottom w:w="90" w:type="dxa"/>
              <w:end w:w="90" w:type="dxa"/>
            </w:tcMar>
            <w:vAlign w:val="center"/>
          </w:tcPr>
          <w:p>
            <w:pPr>
              <w:jc w:val="left"/>
            </w:pPr>
            <w:r>
              <w:rPr>
                <w:rFonts w:ascii="Arial" w:hAnsi="Arial"/>
                <w:b/>
                <w:color w:val="FFFFFF"/>
                <w:sz w:val="16"/>
              </w:rPr>
              <w:t>User sees</w:t>
            </w:r>
          </w:p>
        </w:tc>
      </w:tr>
      <w:tr>
        <w:trPr>
          <w:cantSplit/>
        </w:trPr>
        <w:tc>
          <w:tcPr>
            <w:tcW w:type="dxa" w:w="1800"/>
            <w:tcMar>
              <w:top w:w="75" w:type="dxa"/>
              <w:start w:w="85" w:type="dxa"/>
              <w:bottom w:w="75" w:type="dxa"/>
              <w:end w:w="85" w:type="dxa"/>
            </w:tcMar>
            <w:vAlign w:val="top"/>
          </w:tcPr>
          <w:p>
            <w:pPr>
              <w:spacing w:after="0"/>
            </w:pPr>
            <w:r>
              <w:rPr>
                <w:rFonts w:ascii="Arial" w:hAnsi="Arial"/>
                <w:color w:val="24313A"/>
                <w:sz w:val="16"/>
              </w:rPr>
              <w:t>Text diff</w:t>
            </w:r>
          </w:p>
        </w:tc>
        <w:tc>
          <w:tcPr>
            <w:tcW w:type="dxa" w:w="7704"/>
            <w:tcMar>
              <w:top w:w="75" w:type="dxa"/>
              <w:start w:w="85" w:type="dxa"/>
              <w:bottom w:w="75" w:type="dxa"/>
              <w:end w:w="85" w:type="dxa"/>
            </w:tcMar>
            <w:vAlign w:val="top"/>
          </w:tcPr>
          <w:p>
            <w:pPr>
              <w:spacing w:after="0"/>
            </w:pPr>
            <w:r>
              <w:rPr>
                <w:rFonts w:ascii="Arial" w:hAnsi="Arial"/>
                <w:color w:val="24313A"/>
                <w:sz w:val="16"/>
              </w:rPr>
              <w:t>Exact additions, deletions, moves, renumbering, and incorporated-by-reference changes.</w:t>
            </w:r>
          </w:p>
        </w:tc>
      </w:tr>
      <w:tr>
        <w:trPr>
          <w:cantSplit/>
        </w:trPr>
        <w:tc>
          <w:tcPr>
            <w:tcW w:type="dxa" w:w="1800"/>
            <w:shd w:fill="F7F9FA"/>
            <w:tcMar>
              <w:top w:w="75" w:type="dxa"/>
              <w:start w:w="85" w:type="dxa"/>
              <w:bottom w:w="75" w:type="dxa"/>
              <w:end w:w="85" w:type="dxa"/>
            </w:tcMar>
            <w:vAlign w:val="top"/>
          </w:tcPr>
          <w:p>
            <w:pPr>
              <w:spacing w:after="0"/>
            </w:pPr>
            <w:r>
              <w:rPr>
                <w:rFonts w:ascii="Arial" w:hAnsi="Arial"/>
                <w:color w:val="24313A"/>
                <w:sz w:val="16"/>
              </w:rPr>
              <w:t>Rule diff</w:t>
            </w:r>
          </w:p>
        </w:tc>
        <w:tc>
          <w:tcPr>
            <w:tcW w:type="dxa" w:w="7704"/>
            <w:shd w:fill="F7F9FA"/>
            <w:tcMar>
              <w:top w:w="75" w:type="dxa"/>
              <w:start w:w="85" w:type="dxa"/>
              <w:bottom w:w="75" w:type="dxa"/>
              <w:end w:w="85" w:type="dxa"/>
            </w:tcMar>
            <w:vAlign w:val="top"/>
          </w:tcPr>
          <w:p>
            <w:pPr>
              <w:spacing w:after="0"/>
            </w:pPr>
            <w:r>
              <w:rPr>
                <w:rFonts w:ascii="Arial" w:hAnsi="Arial"/>
                <w:color w:val="24313A"/>
                <w:sz w:val="16"/>
              </w:rPr>
              <w:t>Eligibility thresholds, rates, caps, definitions, exceptions, dates, formulas, and delegated authority that changed.</w:t>
            </w:r>
          </w:p>
        </w:tc>
      </w:tr>
      <w:tr>
        <w:trPr>
          <w:cantSplit/>
        </w:trPr>
        <w:tc>
          <w:tcPr>
            <w:tcW w:type="dxa" w:w="1800"/>
            <w:tcMar>
              <w:top w:w="75" w:type="dxa"/>
              <w:start w:w="85" w:type="dxa"/>
              <w:bottom w:w="75" w:type="dxa"/>
              <w:end w:w="85" w:type="dxa"/>
            </w:tcMar>
            <w:vAlign w:val="top"/>
          </w:tcPr>
          <w:p>
            <w:pPr>
              <w:spacing w:after="0"/>
            </w:pPr>
            <w:r>
              <w:rPr>
                <w:rFonts w:ascii="Arial" w:hAnsi="Arial"/>
                <w:color w:val="24313A"/>
                <w:sz w:val="16"/>
              </w:rPr>
              <w:t>Impact diff</w:t>
            </w:r>
          </w:p>
        </w:tc>
        <w:tc>
          <w:tcPr>
            <w:tcW w:type="dxa" w:w="7704"/>
            <w:tcMar>
              <w:top w:w="75" w:type="dxa"/>
              <w:start w:w="85" w:type="dxa"/>
              <w:bottom w:w="75" w:type="dxa"/>
              <w:end w:w="85" w:type="dxa"/>
            </w:tcMar>
            <w:vAlign w:val="top"/>
          </w:tcPr>
          <w:p>
            <w:pPr>
              <w:spacing w:after="0"/>
            </w:pPr>
            <w:r>
              <w:rPr>
                <w:rFonts w:ascii="Arial" w:hAnsi="Arial"/>
                <w:color w:val="24313A"/>
                <w:sz w:val="16"/>
              </w:rPr>
              <w:t>How estimated budget and distributional effects changed because of the new language.</w:t>
            </w:r>
          </w:p>
        </w:tc>
      </w:tr>
      <w:tr>
        <w:trPr>
          <w:cantSplit/>
        </w:trPr>
        <w:tc>
          <w:tcPr>
            <w:tcW w:type="dxa" w:w="1800"/>
            <w:shd w:fill="F7F9FA"/>
            <w:tcMar>
              <w:top w:w="75" w:type="dxa"/>
              <w:start w:w="85" w:type="dxa"/>
              <w:bottom w:w="75" w:type="dxa"/>
              <w:end w:w="85" w:type="dxa"/>
            </w:tcMar>
            <w:vAlign w:val="top"/>
          </w:tcPr>
          <w:p>
            <w:pPr>
              <w:spacing w:after="0"/>
            </w:pPr>
            <w:r>
              <w:rPr>
                <w:rFonts w:ascii="Arial" w:hAnsi="Arial"/>
                <w:color w:val="24313A"/>
                <w:sz w:val="16"/>
              </w:rPr>
              <w:t>Beneficiary diff</w:t>
            </w:r>
          </w:p>
        </w:tc>
        <w:tc>
          <w:tcPr>
            <w:tcW w:type="dxa" w:w="7704"/>
            <w:shd w:fill="F7F9FA"/>
            <w:tcMar>
              <w:top w:w="75" w:type="dxa"/>
              <w:start w:w="85" w:type="dxa"/>
              <w:bottom w:w="75" w:type="dxa"/>
              <w:end w:w="85" w:type="dxa"/>
            </w:tcMar>
            <w:vAlign w:val="top"/>
          </w:tcPr>
          <w:p>
            <w:pPr>
              <w:spacing w:after="0"/>
            </w:pPr>
            <w:r>
              <w:rPr>
                <w:rFonts w:ascii="Arial" w:hAnsi="Arial"/>
                <w:color w:val="24313A"/>
                <w:sz w:val="16"/>
              </w:rPr>
              <w:t>Groups newly included, excluded, advantaged, burdened, or exposed to discretion.</w:t>
            </w:r>
          </w:p>
        </w:tc>
      </w:tr>
      <w:tr>
        <w:trPr>
          <w:cantSplit/>
        </w:trPr>
        <w:tc>
          <w:tcPr>
            <w:tcW w:type="dxa" w:w="1800"/>
            <w:tcMar>
              <w:top w:w="75" w:type="dxa"/>
              <w:start w:w="85" w:type="dxa"/>
              <w:bottom w:w="75" w:type="dxa"/>
              <w:end w:w="85" w:type="dxa"/>
            </w:tcMar>
            <w:vAlign w:val="top"/>
          </w:tcPr>
          <w:p>
            <w:pPr>
              <w:spacing w:after="0"/>
            </w:pPr>
            <w:r>
              <w:rPr>
                <w:rFonts w:ascii="Arial" w:hAnsi="Arial"/>
                <w:color w:val="24313A"/>
                <w:sz w:val="16"/>
              </w:rPr>
              <w:t>Process diff</w:t>
            </w:r>
          </w:p>
        </w:tc>
        <w:tc>
          <w:tcPr>
            <w:tcW w:type="dxa" w:w="7704"/>
            <w:tcMar>
              <w:top w:w="75" w:type="dxa"/>
              <w:start w:w="85" w:type="dxa"/>
              <w:bottom w:w="75" w:type="dxa"/>
              <w:end w:w="85" w:type="dxa"/>
            </w:tcMar>
            <w:vAlign w:val="top"/>
          </w:tcPr>
          <w:p>
            <w:pPr>
              <w:spacing w:after="0"/>
            </w:pPr>
            <w:r>
              <w:rPr>
                <w:rFonts w:ascii="Arial" w:hAnsi="Arial"/>
                <w:color w:val="24313A"/>
                <w:sz w:val="16"/>
              </w:rPr>
              <w:t>When and where the language appeared: introduced text, committee markup, manager’s amendment, substitute, conference, or enrollment.</w:t>
            </w:r>
          </w:p>
        </w:tc>
      </w:tr>
    </w:tbl>
    <w:p>
      <w:pPr>
        <w:pStyle w:val="Heading2"/>
      </w:pPr>
      <w:r>
        <w:t>5.3 People Impact Explorer</w:t>
      </w:r>
    </w:p>
    <w:p>
      <w:pPr>
        <w:spacing w:after="120" w:line="259" w:lineRule="auto"/>
      </w:pPr>
      <w:r>
        <w:t>The explorer should support representative households and a browser-local custom profile. The POC models direct federal tax, transfer, fee, and federally defined benefit effects only. State implementation or tax interactions are excluded unless a separately governed model scenario explicitly models and discloses them. Custom inputs execute locally and are not transmitted to People’s Ledger servers. The explorer must not imply personal tax, legal, or benefits advice.</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088"/>
            <w:shd w:fill="17324D"/>
            <w:tcMar>
              <w:top w:w="90" w:type="dxa"/>
              <w:start w:w="90" w:type="dxa"/>
              <w:bottom w:w="90" w:type="dxa"/>
              <w:end w:w="90" w:type="dxa"/>
            </w:tcMar>
            <w:vAlign w:val="center"/>
          </w:tcPr>
          <w:p>
            <w:pPr>
              <w:jc w:val="left"/>
            </w:pPr>
            <w:r>
              <w:rPr>
                <w:rFonts w:ascii="Arial" w:hAnsi="Arial"/>
                <w:b/>
                <w:color w:val="FFFFFF"/>
                <w:sz w:val="16"/>
              </w:rPr>
              <w:t>Input family</w:t>
            </w:r>
          </w:p>
        </w:tc>
        <w:tc>
          <w:tcPr>
            <w:tcW w:type="dxa" w:w="7416"/>
            <w:shd w:fill="17324D"/>
            <w:tcMar>
              <w:top w:w="90" w:type="dxa"/>
              <w:start w:w="90" w:type="dxa"/>
              <w:bottom w:w="90" w:type="dxa"/>
              <w:end w:w="90" w:type="dxa"/>
            </w:tcMar>
            <w:vAlign w:val="center"/>
          </w:tcPr>
          <w:p>
            <w:pPr>
              <w:jc w:val="left"/>
            </w:pPr>
            <w:r>
              <w:rPr>
                <w:rFonts w:ascii="Arial" w:hAnsi="Arial"/>
                <w:b/>
                <w:color w:val="FFFFFF"/>
                <w:sz w:val="16"/>
              </w:rPr>
              <w:t>Examples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6"/>
              </w:rPr>
              <w:t>Household</w:t>
            </w:r>
          </w:p>
        </w:tc>
        <w:tc>
          <w:tcPr>
            <w:tcW w:type="dxa" w:w="7416"/>
            <w:tcMar>
              <w:top w:w="75" w:type="dxa"/>
              <w:start w:w="85" w:type="dxa"/>
              <w:bottom w:w="75" w:type="dxa"/>
              <w:end w:w="85" w:type="dxa"/>
            </w:tcMar>
            <w:vAlign w:val="top"/>
          </w:tcPr>
          <w:p>
            <w:pPr>
              <w:spacing w:after="0"/>
            </w:pPr>
            <w:r>
              <w:rPr>
                <w:rFonts w:ascii="Arial" w:hAnsi="Arial"/>
                <w:color w:val="24313A"/>
                <w:sz w:val="16"/>
              </w:rPr>
              <w:t>Filing status, adults, dependents, ages, disability indicators, student status, state and broad geography.</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6"/>
              </w:rPr>
              <w:t>Income</w:t>
            </w:r>
          </w:p>
        </w:tc>
        <w:tc>
          <w:tcPr>
            <w:tcW w:type="dxa" w:w="7416"/>
            <w:shd w:fill="F7F9FA"/>
            <w:tcMar>
              <w:top w:w="75" w:type="dxa"/>
              <w:start w:w="85" w:type="dxa"/>
              <w:bottom w:w="75" w:type="dxa"/>
              <w:end w:w="85" w:type="dxa"/>
            </w:tcMar>
            <w:vAlign w:val="top"/>
          </w:tcPr>
          <w:p>
            <w:pPr>
              <w:spacing w:after="0"/>
            </w:pPr>
            <w:r>
              <w:rPr>
                <w:rFonts w:ascii="Arial" w:hAnsi="Arial"/>
                <w:color w:val="24313A"/>
                <w:sz w:val="16"/>
              </w:rPr>
              <w:t>Wages, self-employment, retirement income, Social Security, capital gains, interest, dividends, and other broad categories.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6"/>
              </w:rPr>
              <w:t>Coverage / programs</w:t>
            </w:r>
          </w:p>
        </w:tc>
        <w:tc>
          <w:tcPr>
            <w:tcW w:type="dxa" w:w="7416"/>
            <w:tcMar>
              <w:top w:w="75" w:type="dxa"/>
              <w:start w:w="85" w:type="dxa"/>
              <w:bottom w:w="75" w:type="dxa"/>
              <w:end w:w="85" w:type="dxa"/>
            </w:tcMar>
            <w:vAlign w:val="top"/>
          </w:tcPr>
          <w:p>
            <w:pPr>
              <w:spacing w:after="0"/>
            </w:pPr>
            <w:r>
              <w:rPr>
                <w:rFonts w:ascii="Arial" w:hAnsi="Arial"/>
                <w:color w:val="24313A"/>
                <w:sz w:val="16"/>
              </w:rPr>
              <w:t>Health coverage, ACA marketplace, Medicare, Medicaid, SNAP, student aid/loans, housing assistance, or relevant programs.</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6"/>
              </w:rPr>
              <w:t>Assets / entities</w:t>
            </w:r>
          </w:p>
        </w:tc>
        <w:tc>
          <w:tcPr>
            <w:tcW w:type="dxa" w:w="7416"/>
            <w:shd w:fill="F7F9FA"/>
            <w:tcMar>
              <w:top w:w="75" w:type="dxa"/>
              <w:start w:w="85" w:type="dxa"/>
              <w:bottom w:w="75" w:type="dxa"/>
              <w:end w:w="85" w:type="dxa"/>
            </w:tcMar>
            <w:vAlign w:val="top"/>
          </w:tcPr>
          <w:p>
            <w:pPr>
              <w:spacing w:after="0"/>
            </w:pPr>
            <w:r>
              <w:rPr>
                <w:rFonts w:ascii="Arial" w:hAnsi="Arial"/>
                <w:color w:val="24313A"/>
                <w:sz w:val="16"/>
              </w:rPr>
              <w:t>Homeownership, retirement accounts, small-business or pass-through ownership, and selected asset classes when material.</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6"/>
              </w:rPr>
              <w:t>Time</w:t>
            </w:r>
          </w:p>
        </w:tc>
        <w:tc>
          <w:tcPr>
            <w:tcW w:type="dxa" w:w="7416"/>
            <w:tcMar>
              <w:top w:w="75" w:type="dxa"/>
              <w:start w:w="85" w:type="dxa"/>
              <w:bottom w:w="75" w:type="dxa"/>
              <w:end w:w="85" w:type="dxa"/>
            </w:tcMar>
            <w:vAlign w:val="top"/>
          </w:tcPr>
          <w:p>
            <w:pPr>
              <w:spacing w:after="0"/>
            </w:pPr>
            <w:r>
              <w:rPr>
                <w:rFonts w:ascii="Arial" w:hAnsi="Arial"/>
                <w:color w:val="24313A"/>
                <w:sz w:val="16"/>
              </w:rPr>
              <w:t>Current year, effective years, expiration years, and ten-year cumulative view.</w:t>
            </w:r>
          </w:p>
        </w:tc>
      </w:tr>
    </w:tbl>
    <w:tbl>
      <w:tblPr>
        <w:tblW w:type="auto" w:w="0"/>
        <w:jc w:val="center"/>
        <w:tblLayout w:type="fixed"/>
        <w:tblLook w:firstColumn="1" w:firstRow="1" w:lastColumn="0" w:lastRow="0" w:noHBand="0" w:noVBand="1" w:val="04A0"/>
        <w:tblBorders>
          <w:top w:val="single" w:sz="10" w:space="0" w:color="2A8C82"/>
          <w:left w:val="single" w:sz="10" w:space="0" w:color="2A8C82"/>
          <w:bottom w:val="single" w:sz="10" w:space="0" w:color="2A8C82"/>
          <w:right w:val="single" w:sz="10" w:space="0" w:color="2A8C82"/>
          <w:insideH w:val="single" w:sz="10" w:space="0" w:color="2A8C82"/>
          <w:insideV w:val="single" w:sz="10" w:space="0" w:color="2A8C82"/>
        </w:tblBorders>
      </w:tblPr>
      <w:tblGrid>
        <w:gridCol w:w="9504"/>
      </w:tblGrid>
      <w:tr>
        <w:trPr>
          <w:cantSplit/>
          <w:tblHeader w:val="true"/>
        </w:trPr>
        <w:tc>
          <w:tcPr>
            <w:tcW w:type="dxa" w:w="9878"/>
            <w:shd w:fill="E8F4F1"/>
            <w:tcMar>
              <w:top w:w="130" w:type="dxa"/>
              <w:start w:w="170" w:type="dxa"/>
              <w:bottom w:w="130" w:type="dxa"/>
              <w:end w:w="170" w:type="dxa"/>
            </w:tcMar>
          </w:tcPr>
          <w:p>
            <w:r>
              <w:t>Privacy default</w:t>
              <w:br/>
              <w:t>POC custom household calculations execute entirely in the browser. User-entered values are not sent to application servers, analytics services, crash-reporting systems, session-replay tools, or third-party scripts. No names, exact addresses, Social Security numbers, account numbers, or uploaded tax returns are requested. Local storage is opt-in, visibly clearable, and covered by automated network-egress tests.</w:t>
            </w:r>
          </w:p>
        </w:tc>
      </w:tr>
    </w:tbl>
    <w:p>
      <w:pPr>
        <w:pStyle w:val="Heading2"/>
      </w:pPr>
      <w:r>
        <w:t>5.4 Narrow-benefit explorer</w:t>
      </w:r>
    </w:p>
    <w:p>
      <w:pPr>
        <w:spacing w:after="120" w:line="259" w:lineRule="auto"/>
      </w:pPr>
      <w:r>
        <w:t>This experience lists neutral, evidence-backed indicators and lets users inspect why each rule fired. It should never equate an indicator with wrongdoing.</w:t>
      </w:r>
    </w:p>
    <w:p>
      <w:pPr>
        <w:pStyle w:val="Heading2"/>
      </w:pPr>
      <w:r>
        <w:t>5.5 Model comparison and disagreement</w:t>
      </w:r>
    </w:p>
    <w:p>
      <w:pPr>
        <w:spacing w:after="120" w:line="259" w:lineRule="auto"/>
      </w:pPr>
      <w:r>
        <w:rPr>
          <w:rFonts w:ascii="Arial" w:hAnsi="Arial"/>
          <w:color w:val="24313A"/>
          <w:sz w:val="19"/>
        </w:rPr>
        <w:t>For major legislation, the platform should compare official and credible independent analyses. Differences should be decomposed into population, baseline, behavioral assumptions, economic incidence, years, and included provisions.</w:t>
      </w:r>
    </w:p>
    <w:p>
      <w:pPr>
        <w:pStyle w:val="Heading2"/>
      </w:pPr>
      <w:r>
        <w:t>5.6 Watchlists, alerts, and public API</w:t>
      </w:r>
    </w:p>
    <w:p>
      <w:pPr>
        <w:spacing w:after="120" w:line="259" w:lineRule="auto"/>
      </w:pPr>
      <w:r>
        <w:rPr>
          <w:rFonts w:ascii="Arial" w:hAnsi="Arial"/>
          <w:color w:val="24313A"/>
          <w:sz w:val="19"/>
        </w:rPr>
        <w:t>Users should be able to watch a bill, provision, code section, program, industry, or beneficiary pattern. Alerts should identify material changes and link to a versioned report. An open API should expose public bill/version/provision/finding objects and the methodology identifiers needed for reproducibility.</w:t>
      </w:r>
    </w:p>
    <w:p>
      <w:bookmarkStart w:id="60" w:name="provision"/>
      <w:pPr>
        <w:pStyle w:val="Heading1"/>
      </w:pPr>
      <w:r>
        <w:t>6. Legislative change and provision model</w:t>
      </w:r>
      <w:bookmarkEnd w:id="60"/>
    </w:p>
    <w:p>
      <w:r>
        <w:drawing>
          <wp:inline xmlns:a="http://schemas.openxmlformats.org/drawingml/2006/main" xmlns:pic="http://schemas.openxmlformats.org/drawingml/2006/picture">
            <wp:extent cx="6080760" cy="2899518"/>
            <wp:docPr id="2" name="Picture 2" title="Legislation analysis pipeline" descr="Acquire, normalize, compare, extract, analyze and publish, supported by provenance, validation, human oversight and a public API."/>
            <wp:cNvGraphicFramePr>
              <a:graphicFrameLocks noChangeAspect="1"/>
            </wp:cNvGraphicFramePr>
            <a:graphic>
              <a:graphicData uri="http://schemas.openxmlformats.org/drawingml/2006/picture">
                <pic:pic>
                  <pic:nvPicPr>
                    <pic:cNvPr id="0" name="analysis_pipeline.png"/>
                    <pic:cNvPicPr/>
                  </pic:nvPicPr>
                  <pic:blipFill>
                    <a:blip r:embed="rId12"/>
                    <a:stretch>
                      <a:fillRect/>
                    </a:stretch>
                  </pic:blipFill>
                  <pic:spPr>
                    <a:xfrm>
                      <a:off x="0" y="0"/>
                      <a:ext cx="6080760" cy="2899518"/>
                    </a:xfrm>
                    <a:prstGeom prst="rect"/>
                  </pic:spPr>
                </pic:pic>
              </a:graphicData>
            </a:graphic>
          </wp:inline>
        </w:drawing>
      </w:r>
    </w:p>
    <w:p>
      <w:pPr>
        <w:pStyle w:val="Heading2"/>
      </w:pPr>
      <w:r>
        <w:t>6.1 Canonical legislative document</w:t>
      </w:r>
    </w:p>
    <w:p>
      <w:pPr>
        <w:spacing w:after="120" w:line="259" w:lineRule="auto"/>
      </w:pPr>
      <w:r>
        <w:rPr>
          <w:rFonts w:ascii="Arial" w:hAnsi="Arial"/>
          <w:color w:val="24313A"/>
          <w:sz w:val="19"/>
        </w:rPr>
        <w:t>Every official text version is stored as an immutable canonical document. The original source file remains unchanged; derived formats are linked by hash and transformation record. XML should be preferred where available, with PDF and plain-text renditions retained for verification.</w:t>
      </w:r>
    </w:p>
    <w:p>
      <w:pPr>
        <w:pStyle w:val="Heading2"/>
      </w:pPr>
      <w:r>
        <w:t>6.2 Section and citation graph</w:t>
      </w:r>
    </w:p>
    <w:p>
      <w:pPr>
        <w:spacing w:after="120" w:line="259" w:lineRule="auto"/>
      </w:pPr>
      <w:r>
        <w:t>Legislation frequently amends existing statutes indirectly by striking phrases, inserting text, redesignating paragraphs, or incorporating definitions from elsewhere. A section graph should connect each bill clause to affected U.S. Code sections, public laws, regulations, programs, tax forms, and prior bill versions. Structured USLM/XML identifiers should be retained wherever available.</w:t>
      </w:r>
    </w:p>
    <w:p>
      <w:pPr>
        <w:pStyle w:val="Heading2"/>
      </w:pPr>
      <w:r>
        <w:t>6.3 Hybrid statutory transformation pipeline</w:t>
      </w:r>
    </w:p>
    <w:p>
      <w:pPr/>
      <w:r>
        <w:t>Authoritative reconstruction of amended law requires a hybrid pipeline. LLMs may propose candidate operations, but deterministic tooling must parse, apply, and validate supported legal transformations. Ambiguous or unsupported instructions must produce an explicit unresolved state rather than a guessed result.</w:t>
      </w:r>
    </w:p>
    <w:p>
      <w:pPr>
        <w:spacing w:after="40"/>
        <w:ind w:left="403" w:hanging="259"/>
      </w:pPr>
      <w:r>
        <w:t>1. Parse canonical legislative and U.S. Code hierarchy from USLM/XML and other authoritative structured formats; retain PDF and text renditions for verification.</w:t>
      </w:r>
    </w:p>
    <w:p>
      <w:pPr>
        <w:spacing w:after="40"/>
        <w:ind w:left="403" w:hanging="259"/>
      </w:pPr>
      <w:r>
        <w:t>2. Recognize supported amendment operations deterministically, including strike, insert, replace, repeal, redesignate, amend heading, and add-at-end instructions.</w:t>
      </w:r>
    </w:p>
    <w:p>
      <w:pPr>
        <w:spacing w:after="40"/>
        <w:ind w:left="403" w:hanging="259"/>
      </w:pPr>
      <w:r>
        <w:t>3. Resolve and graph cross-references, definitions, exceptions, effective dates, conforming amendments, and downstream dependencies.</w:t>
      </w:r>
    </w:p>
    <w:p>
      <w:pPr>
        <w:spacing w:after="40"/>
        <w:ind w:left="403" w:hanging="259"/>
      </w:pPr>
      <w:r>
        <w:t>4. Allow an LLM to propose candidate operation structures, semantic matches, and ambiguity notes in a constrained schema; the proposal is never the authoritative transformed law.</w:t>
      </w:r>
    </w:p>
    <w:p>
      <w:pPr>
        <w:spacing w:after="40"/>
        <w:ind w:left="403" w:hanging="259"/>
      </w:pPr>
      <w:r>
        <w:t>5. Apply candidate operations through the deterministic engine and perform round-trip validation against authoritative post-enactment or codified text when available.</w:t>
      </w:r>
    </w:p>
    <w:p>
      <w:pPr>
        <w:spacing w:after="40"/>
        <w:ind w:left="403" w:hanging="259"/>
      </w:pPr>
      <w:r>
        <w:t>6. Abstain and escalate when an operation is unsupported, structurally ambiguous, contradictory, or cannot be reconciled to an authoritative result.</w:t>
      </w:r>
    </w:p>
    <w:p>
      <w:pPr>
        <w:pStyle w:val="Heading2"/>
      </w:pPr>
      <w:r>
        <w:t>6.4 Provision as the atomic analytical object</w:t>
      </w:r>
    </w:p>
    <w:p>
      <w:pPr>
        <w:spacing w:after="120" w:line="259" w:lineRule="auto"/>
      </w:pPr>
      <w:r>
        <w:rPr>
          <w:rFonts w:ascii="Arial" w:hAnsi="Arial"/>
          <w:color w:val="24313A"/>
          <w:sz w:val="19"/>
        </w:rPr>
        <w:t>A provision is a coherent legal change that can be described, compared, modeled, reviewed, and cited independently. One statutory section may contain multiple provisions; one provision may span multiple sections.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160"/>
            <w:shd w:fill="17324D"/>
            <w:tcMar>
              <w:top w:w="90" w:type="dxa"/>
              <w:start w:w="90" w:type="dxa"/>
              <w:bottom w:w="90" w:type="dxa"/>
              <w:end w:w="90" w:type="dxa"/>
            </w:tcMar>
            <w:vAlign w:val="center"/>
          </w:tcPr>
          <w:p>
            <w:pPr>
              <w:jc w:val="left"/>
            </w:pPr>
            <w:r>
              <w:rPr>
                <w:rFonts w:ascii="Arial" w:hAnsi="Arial"/>
                <w:b/>
                <w:color w:val="FFFFFF"/>
                <w:sz w:val="16"/>
              </w:rPr>
              <w:t>Provision field</w:t>
            </w:r>
          </w:p>
        </w:tc>
        <w:tc>
          <w:tcPr>
            <w:tcW w:type="dxa" w:w="7344"/>
            <w:shd w:fill="17324D"/>
            <w:tcMar>
              <w:top w:w="90" w:type="dxa"/>
              <w:start w:w="90" w:type="dxa"/>
              <w:bottom w:w="90" w:type="dxa"/>
              <w:end w:w="90" w:type="dxa"/>
            </w:tcMar>
            <w:vAlign w:val="center"/>
          </w:tcPr>
          <w:p>
            <w:pPr>
              <w:jc w:val="left"/>
            </w:pPr>
            <w:r>
              <w:rPr>
                <w:rFonts w:ascii="Arial" w:hAnsi="Arial"/>
                <w:b/>
                <w:color w:val="FFFFFF"/>
                <w:sz w:val="16"/>
              </w:rPr>
              <w:t>Description</w:t>
            </w:r>
          </w:p>
        </w:tc>
      </w:tr>
      <w:tr>
        <w:trPr>
          <w:cantSplit/>
        </w:trPr>
        <w:tc>
          <w:tcPr>
            <w:tcW w:type="dxa" w:w="2160"/>
            <w:tcMar>
              <w:top w:w="75" w:type="dxa"/>
              <w:start w:w="85" w:type="dxa"/>
              <w:bottom w:w="75" w:type="dxa"/>
              <w:end w:w="85" w:type="dxa"/>
            </w:tcMar>
            <w:vAlign w:val="top"/>
          </w:tcPr>
          <w:p>
            <w:pPr>
              <w:spacing w:after="0"/>
            </w:pPr>
            <w:r>
              <w:rPr>
                <w:rFonts w:ascii="Arial" w:hAnsi="Arial"/>
                <w:color w:val="24313A"/>
                <w:sz w:val="15"/>
              </w:rPr>
              <w:t>Identity</w:t>
            </w:r>
          </w:p>
        </w:tc>
        <w:tc>
          <w:tcPr>
            <w:tcW w:type="dxa" w:w="7344"/>
            <w:tcMar>
              <w:top w:w="75" w:type="dxa"/>
              <w:start w:w="85" w:type="dxa"/>
              <w:bottom w:w="75" w:type="dxa"/>
              <w:end w:w="85" w:type="dxa"/>
            </w:tcMar>
            <w:vAlign w:val="top"/>
          </w:tcPr>
          <w:p>
            <w:pPr>
              <w:spacing w:after="0"/>
            </w:pPr>
            <w:r>
              <w:rPr>
                <w:rFonts w:ascii="Arial" w:hAnsi="Arial"/>
                <w:color w:val="24313A"/>
                <w:sz w:val="15"/>
              </w:rPr>
              <w:t>Stable internal ID, bill/version, section references, affected-law citations, and source spans.</w:t>
            </w:r>
          </w:p>
        </w:tc>
      </w:tr>
      <w:tr>
        <w:trPr>
          <w:cantSplit/>
        </w:trPr>
        <w:tc>
          <w:tcPr>
            <w:tcW w:type="dxa" w:w="2160"/>
            <w:shd w:fill="F7F9FA"/>
            <w:tcMar>
              <w:top w:w="75" w:type="dxa"/>
              <w:start w:w="85" w:type="dxa"/>
              <w:bottom w:w="75" w:type="dxa"/>
              <w:end w:w="85" w:type="dxa"/>
            </w:tcMar>
            <w:vAlign w:val="top"/>
          </w:tcPr>
          <w:p>
            <w:pPr>
              <w:spacing w:after="0"/>
            </w:pPr>
            <w:r>
              <w:rPr>
                <w:rFonts w:ascii="Arial" w:hAnsi="Arial"/>
                <w:color w:val="24313A"/>
                <w:sz w:val="15"/>
              </w:rPr>
              <w:t>Policy action</w:t>
            </w:r>
          </w:p>
        </w:tc>
        <w:tc>
          <w:tcPr>
            <w:tcW w:type="dxa" w:w="7344"/>
            <w:shd w:fill="F7F9FA"/>
            <w:tcMar>
              <w:top w:w="75" w:type="dxa"/>
              <w:start w:w="85" w:type="dxa"/>
              <w:bottom w:w="75" w:type="dxa"/>
              <w:end w:w="85" w:type="dxa"/>
            </w:tcMar>
            <w:vAlign w:val="top"/>
          </w:tcPr>
          <w:p>
            <w:pPr>
              <w:spacing w:after="0"/>
            </w:pPr>
            <w:r>
              <w:rPr>
                <w:rFonts w:ascii="Arial" w:hAnsi="Arial"/>
                <w:color w:val="24313A"/>
                <w:sz w:val="15"/>
              </w:rPr>
              <w:t>Create, repeal, extend, expand, restrict, index, appropriate, authorize, mandate, prohibit, delegate, waive, or study.</w:t>
            </w:r>
          </w:p>
        </w:tc>
      </w:tr>
      <w:tr>
        <w:trPr>
          <w:cantSplit/>
        </w:trPr>
        <w:tc>
          <w:tcPr>
            <w:tcW w:type="dxa" w:w="2160"/>
            <w:tcMar>
              <w:top w:w="75" w:type="dxa"/>
              <w:start w:w="85" w:type="dxa"/>
              <w:bottom w:w="75" w:type="dxa"/>
              <w:end w:w="85" w:type="dxa"/>
            </w:tcMar>
            <w:vAlign w:val="top"/>
          </w:tcPr>
          <w:p>
            <w:pPr>
              <w:spacing w:after="0"/>
            </w:pPr>
            <w:r>
              <w:rPr>
                <w:rFonts w:ascii="Arial" w:hAnsi="Arial"/>
                <w:color w:val="24313A"/>
                <w:sz w:val="15"/>
              </w:rPr>
              <w:t>Population / entity</w:t>
            </w:r>
          </w:p>
        </w:tc>
        <w:tc>
          <w:tcPr>
            <w:tcW w:type="dxa" w:w="7344"/>
            <w:tcMar>
              <w:top w:w="75" w:type="dxa"/>
              <w:start w:w="85" w:type="dxa"/>
              <w:bottom w:w="75" w:type="dxa"/>
              <w:end w:w="85" w:type="dxa"/>
            </w:tcMar>
            <w:vAlign w:val="top"/>
          </w:tcPr>
          <w:p>
            <w:pPr>
              <w:spacing w:after="0"/>
            </w:pPr>
            <w:r>
              <w:rPr>
                <w:rFonts w:ascii="Arial" w:hAnsi="Arial"/>
                <w:color w:val="24313A"/>
                <w:sz w:val="15"/>
              </w:rPr>
              <w:t>Individuals, tax units, households, employers, corporations, pass-throughs, nonprofits, governments, industries, or places.</w:t>
            </w:r>
          </w:p>
        </w:tc>
      </w:tr>
      <w:tr>
        <w:trPr>
          <w:cantSplit/>
        </w:trPr>
        <w:tc>
          <w:tcPr>
            <w:tcW w:type="dxa" w:w="2160"/>
            <w:shd w:fill="F7F9FA"/>
            <w:tcMar>
              <w:top w:w="75" w:type="dxa"/>
              <w:start w:w="85" w:type="dxa"/>
              <w:bottom w:w="75" w:type="dxa"/>
              <w:end w:w="85" w:type="dxa"/>
            </w:tcMar>
            <w:vAlign w:val="top"/>
          </w:tcPr>
          <w:p>
            <w:pPr>
              <w:spacing w:after="0"/>
            </w:pPr>
            <w:r>
              <w:rPr>
                <w:rFonts w:ascii="Arial" w:hAnsi="Arial"/>
                <w:color w:val="24313A"/>
                <w:sz w:val="15"/>
              </w:rPr>
              <w:t>Eligibility logic</w:t>
            </w:r>
          </w:p>
        </w:tc>
        <w:tc>
          <w:tcPr>
            <w:tcW w:type="dxa" w:w="7344"/>
            <w:shd w:fill="F7F9FA"/>
            <w:tcMar>
              <w:top w:w="75" w:type="dxa"/>
              <w:start w:w="85" w:type="dxa"/>
              <w:bottom w:w="75" w:type="dxa"/>
              <w:end w:w="85" w:type="dxa"/>
            </w:tcMar>
            <w:vAlign w:val="top"/>
          </w:tcPr>
          <w:p>
            <w:pPr>
              <w:spacing w:after="0"/>
            </w:pPr>
            <w:r>
              <w:rPr>
                <w:rFonts w:ascii="Arial" w:hAnsi="Arial"/>
                <w:color w:val="24313A"/>
                <w:sz w:val="15"/>
              </w:rPr>
              <w:t>Thresholds, definitions, exclusions, aggregation rules, ownership rules, tests, certifications, and agency discretion.</w:t>
            </w:r>
          </w:p>
        </w:tc>
      </w:tr>
      <w:tr>
        <w:trPr>
          <w:cantSplit/>
        </w:trPr>
        <w:tc>
          <w:tcPr>
            <w:tcW w:type="dxa" w:w="2160"/>
            <w:tcMar>
              <w:top w:w="75" w:type="dxa"/>
              <w:start w:w="85" w:type="dxa"/>
              <w:bottom w:w="75" w:type="dxa"/>
              <w:end w:w="85" w:type="dxa"/>
            </w:tcMar>
            <w:vAlign w:val="top"/>
          </w:tcPr>
          <w:p>
            <w:pPr>
              <w:spacing w:after="0"/>
            </w:pPr>
            <w:r>
              <w:rPr>
                <w:rFonts w:ascii="Arial" w:hAnsi="Arial"/>
                <w:color w:val="24313A"/>
                <w:sz w:val="15"/>
              </w:rPr>
              <w:t>Financial mechanism</w:t>
            </w:r>
          </w:p>
        </w:tc>
        <w:tc>
          <w:tcPr>
            <w:tcW w:type="dxa" w:w="7344"/>
            <w:tcMar>
              <w:top w:w="75" w:type="dxa"/>
              <w:start w:w="85" w:type="dxa"/>
              <w:bottom w:w="75" w:type="dxa"/>
              <w:end w:w="85" w:type="dxa"/>
            </w:tcMar>
            <w:vAlign w:val="top"/>
          </w:tcPr>
          <w:p>
            <w:pPr>
              <w:spacing w:after="0"/>
            </w:pPr>
            <w:r>
              <w:rPr>
                <w:rFonts w:ascii="Arial" w:hAnsi="Arial"/>
                <w:color w:val="24313A"/>
                <w:sz w:val="15"/>
              </w:rPr>
              <w:t>Tax rate, deduction, exclusion, credit, transfer, fee, penalty, grant, loan, guarantee, price effect, or administrative cost.</w:t>
            </w:r>
          </w:p>
        </w:tc>
      </w:tr>
      <w:tr>
        <w:trPr>
          <w:cantSplit/>
        </w:trPr>
        <w:tc>
          <w:tcPr>
            <w:tcW w:type="dxa" w:w="2160"/>
            <w:shd w:fill="F7F9FA"/>
            <w:tcMar>
              <w:top w:w="75" w:type="dxa"/>
              <w:start w:w="85" w:type="dxa"/>
              <w:bottom w:w="75" w:type="dxa"/>
              <w:end w:w="85" w:type="dxa"/>
            </w:tcMar>
            <w:vAlign w:val="top"/>
          </w:tcPr>
          <w:p>
            <w:pPr>
              <w:spacing w:after="0"/>
            </w:pPr>
            <w:r>
              <w:rPr>
                <w:rFonts w:ascii="Arial" w:hAnsi="Arial"/>
                <w:color w:val="24313A"/>
                <w:sz w:val="15"/>
              </w:rPr>
              <w:t>Time logic</w:t>
            </w:r>
          </w:p>
        </w:tc>
        <w:tc>
          <w:tcPr>
            <w:tcW w:type="dxa" w:w="7344"/>
            <w:shd w:fill="F7F9FA"/>
            <w:tcMar>
              <w:top w:w="75" w:type="dxa"/>
              <w:start w:w="85" w:type="dxa"/>
              <w:bottom w:w="75" w:type="dxa"/>
              <w:end w:w="85" w:type="dxa"/>
            </w:tcMar>
            <w:vAlign w:val="top"/>
          </w:tcPr>
          <w:p>
            <w:pPr>
              <w:spacing w:after="0"/>
            </w:pPr>
            <w:r>
              <w:rPr>
                <w:rFonts w:ascii="Arial" w:hAnsi="Arial"/>
                <w:color w:val="24313A"/>
                <w:sz w:val="15"/>
              </w:rPr>
              <w:t>Effective date, lookback, phase-in, phase-out, sunset, transition, retroactivity, and renewal assumptions.</w:t>
            </w:r>
          </w:p>
        </w:tc>
      </w:tr>
      <w:tr>
        <w:trPr>
          <w:cantSplit/>
        </w:trPr>
        <w:tc>
          <w:tcPr>
            <w:tcW w:type="dxa" w:w="2160"/>
            <w:tcMar>
              <w:top w:w="75" w:type="dxa"/>
              <w:start w:w="85" w:type="dxa"/>
              <w:bottom w:w="75" w:type="dxa"/>
              <w:end w:w="85" w:type="dxa"/>
            </w:tcMar>
            <w:vAlign w:val="top"/>
          </w:tcPr>
          <w:p>
            <w:pPr>
              <w:spacing w:after="0"/>
            </w:pPr>
            <w:r>
              <w:rPr>
                <w:rFonts w:ascii="Arial" w:hAnsi="Arial"/>
                <w:color w:val="24313A"/>
                <w:sz w:val="15"/>
              </w:rPr>
              <w:t>Dependencies</w:t>
            </w:r>
          </w:p>
        </w:tc>
        <w:tc>
          <w:tcPr>
            <w:tcW w:type="dxa" w:w="7344"/>
            <w:tcMar>
              <w:top w:w="75" w:type="dxa"/>
              <w:start w:w="85" w:type="dxa"/>
              <w:bottom w:w="75" w:type="dxa"/>
              <w:end w:w="85" w:type="dxa"/>
            </w:tcMar>
            <w:vAlign w:val="top"/>
          </w:tcPr>
          <w:p>
            <w:pPr>
              <w:spacing w:after="0"/>
            </w:pPr>
            <w:r>
              <w:rPr>
                <w:rFonts w:ascii="Arial" w:hAnsi="Arial"/>
                <w:color w:val="24313A"/>
                <w:sz w:val="15"/>
              </w:rPr>
              <w:t>Regulations, appropriations, guidance, state decisions, applications, certifications, or other provisions.</w:t>
            </w:r>
          </w:p>
        </w:tc>
      </w:tr>
      <w:tr>
        <w:trPr>
          <w:cantSplit/>
        </w:trPr>
        <w:tc>
          <w:tcPr>
            <w:tcW w:type="dxa" w:w="2160"/>
            <w:shd w:fill="F7F9FA"/>
            <w:tcMar>
              <w:top w:w="75" w:type="dxa"/>
              <w:start w:w="85" w:type="dxa"/>
              <w:bottom w:w="75" w:type="dxa"/>
              <w:end w:w="85" w:type="dxa"/>
            </w:tcMar>
            <w:vAlign w:val="top"/>
          </w:tcPr>
          <w:p>
            <w:pPr>
              <w:spacing w:after="0"/>
            </w:pPr>
            <w:r>
              <w:rPr>
                <w:rFonts w:ascii="Arial" w:hAnsi="Arial"/>
                <w:color w:val="24313A"/>
                <w:sz w:val="15"/>
              </w:rPr>
              <w:t>Evidence state</w:t>
            </w:r>
          </w:p>
        </w:tc>
        <w:tc>
          <w:tcPr>
            <w:tcW w:type="dxa" w:w="7344"/>
            <w:shd w:fill="F7F9FA"/>
            <w:tcMar>
              <w:top w:w="75" w:type="dxa"/>
              <w:start w:w="85" w:type="dxa"/>
              <w:bottom w:w="75" w:type="dxa"/>
              <w:end w:w="85" w:type="dxa"/>
            </w:tcMar>
            <w:vAlign w:val="top"/>
          </w:tcPr>
          <w:p>
            <w:pPr>
              <w:spacing w:after="0"/>
            </w:pPr>
            <w:r>
              <w:rPr>
                <w:rFonts w:ascii="Arial" w:hAnsi="Arial"/>
                <w:color w:val="24313A"/>
                <w:sz w:val="15"/>
              </w:rPr>
              <w:t>Source verification, extraction confidence, ambiguity, publication state, validation results, risk tier, review triggers, reviewer status, corrections, and open questions.</w:t>
            </w:r>
          </w:p>
        </w:tc>
      </w:tr>
    </w:tbl>
    <w:p>
      <w:pPr>
        <w:pStyle w:val="Heading2"/>
      </w:pPr>
      <w:r>
        <w:t>6.5 Change materiality</w:t>
      </w:r>
    </w:p>
    <w:p>
      <w:pPr>
        <w:spacing w:after="120" w:line="259" w:lineRule="auto"/>
      </w:pPr>
      <w:r>
        <w:rPr>
          <w:rFonts w:ascii="Arial" w:hAnsi="Arial"/>
          <w:color w:val="24313A"/>
          <w:sz w:val="19"/>
        </w:rPr>
        <w:t>Text length is a poor proxy for impact. Materiality ranking should combine legal-rule changes, affected population, estimated fiscal magnitude, distributional concentration, implementation discretion, novelty, timing, and confidence.</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1944"/>
            <w:shd w:fill="17324D"/>
            <w:tcMar>
              <w:top w:w="90" w:type="dxa"/>
              <w:start w:w="90" w:type="dxa"/>
              <w:bottom w:w="90" w:type="dxa"/>
              <w:end w:w="90" w:type="dxa"/>
            </w:tcMar>
            <w:vAlign w:val="center"/>
          </w:tcPr>
          <w:p>
            <w:pPr>
              <w:jc w:val="left"/>
            </w:pPr>
            <w:r>
              <w:rPr>
                <w:rFonts w:ascii="Arial" w:hAnsi="Arial"/>
                <w:b/>
                <w:color w:val="FFFFFF"/>
                <w:sz w:val="16"/>
              </w:rPr>
              <w:t>Dimension</w:t>
            </w:r>
          </w:p>
        </w:tc>
        <w:tc>
          <w:tcPr>
            <w:tcW w:type="dxa" w:w="7560"/>
            <w:shd w:fill="17324D"/>
            <w:tcMar>
              <w:top w:w="90" w:type="dxa"/>
              <w:start w:w="90" w:type="dxa"/>
              <w:bottom w:w="90" w:type="dxa"/>
              <w:end w:w="90" w:type="dxa"/>
            </w:tcMar>
            <w:vAlign w:val="center"/>
          </w:tcPr>
          <w:p>
            <w:pPr>
              <w:jc w:val="left"/>
            </w:pPr>
            <w:r>
              <w:rPr>
                <w:rFonts w:ascii="Arial" w:hAnsi="Arial"/>
                <w:b/>
                <w:color w:val="FFFFFF"/>
                <w:sz w:val="16"/>
              </w:rPr>
              <w:t>Example signal</w:t>
            </w:r>
          </w:p>
        </w:tc>
      </w:tr>
      <w:tr>
        <w:trPr>
          <w:cantSplit/>
        </w:trPr>
        <w:tc>
          <w:tcPr>
            <w:tcW w:type="dxa" w:w="1944"/>
            <w:tcMar>
              <w:top w:w="75" w:type="dxa"/>
              <w:start w:w="85" w:type="dxa"/>
              <w:bottom w:w="75" w:type="dxa"/>
              <w:end w:w="85" w:type="dxa"/>
            </w:tcMar>
            <w:vAlign w:val="top"/>
          </w:tcPr>
          <w:p>
            <w:pPr>
              <w:spacing w:after="0"/>
            </w:pPr>
            <w:r>
              <w:rPr>
                <w:rFonts w:ascii="Arial" w:hAnsi="Arial"/>
                <w:color w:val="24313A"/>
                <w:sz w:val="16"/>
              </w:rPr>
              <w:t>Rule magnitude</w:t>
            </w:r>
          </w:p>
        </w:tc>
        <w:tc>
          <w:tcPr>
            <w:tcW w:type="dxa" w:w="7560"/>
            <w:tcMar>
              <w:top w:w="75" w:type="dxa"/>
              <w:start w:w="85" w:type="dxa"/>
              <w:bottom w:w="75" w:type="dxa"/>
              <w:end w:w="85" w:type="dxa"/>
            </w:tcMar>
            <w:vAlign w:val="top"/>
          </w:tcPr>
          <w:p>
            <w:pPr>
              <w:spacing w:after="0"/>
            </w:pPr>
            <w:r>
              <w:rPr>
                <w:rFonts w:ascii="Arial" w:hAnsi="Arial"/>
                <w:color w:val="24313A"/>
                <w:sz w:val="16"/>
              </w:rPr>
              <w:t>Rate changes, threshold changes, new eligibility, repeal, mandatory-to-discretionary change.</w:t>
            </w:r>
          </w:p>
        </w:tc>
      </w:tr>
      <w:tr>
        <w:trPr>
          <w:cantSplit/>
        </w:trPr>
        <w:tc>
          <w:tcPr>
            <w:tcW w:type="dxa" w:w="1944"/>
            <w:shd w:fill="F7F9FA"/>
            <w:tcMar>
              <w:top w:w="75" w:type="dxa"/>
              <w:start w:w="85" w:type="dxa"/>
              <w:bottom w:w="75" w:type="dxa"/>
              <w:end w:w="85" w:type="dxa"/>
            </w:tcMar>
            <w:vAlign w:val="top"/>
          </w:tcPr>
          <w:p>
            <w:pPr>
              <w:spacing w:after="0"/>
            </w:pPr>
            <w:r>
              <w:rPr>
                <w:rFonts w:ascii="Arial" w:hAnsi="Arial"/>
                <w:color w:val="24313A"/>
                <w:sz w:val="16"/>
              </w:rPr>
              <w:t>Population</w:t>
            </w:r>
          </w:p>
        </w:tc>
        <w:tc>
          <w:tcPr>
            <w:tcW w:type="dxa" w:w="7560"/>
            <w:shd w:fill="F7F9FA"/>
            <w:tcMar>
              <w:top w:w="75" w:type="dxa"/>
              <w:start w:w="85" w:type="dxa"/>
              <w:bottom w:w="75" w:type="dxa"/>
              <w:end w:w="85" w:type="dxa"/>
            </w:tcMar>
            <w:vAlign w:val="top"/>
          </w:tcPr>
          <w:p>
            <w:pPr>
              <w:spacing w:after="0"/>
            </w:pPr>
            <w:r>
              <w:rPr>
                <w:rFonts w:ascii="Arial" w:hAnsi="Arial"/>
                <w:color w:val="24313A"/>
                <w:sz w:val="16"/>
              </w:rPr>
              <w:t>Number of affected people/entities and whether vulnerable or highly concentrated.</w:t>
            </w:r>
          </w:p>
        </w:tc>
      </w:tr>
      <w:tr>
        <w:trPr>
          <w:cantSplit/>
        </w:trPr>
        <w:tc>
          <w:tcPr>
            <w:tcW w:type="dxa" w:w="1944"/>
            <w:tcMar>
              <w:top w:w="75" w:type="dxa"/>
              <w:start w:w="85" w:type="dxa"/>
              <w:bottom w:w="75" w:type="dxa"/>
              <w:end w:w="85" w:type="dxa"/>
            </w:tcMar>
            <w:vAlign w:val="top"/>
          </w:tcPr>
          <w:p>
            <w:pPr>
              <w:spacing w:after="0"/>
            </w:pPr>
            <w:r>
              <w:rPr>
                <w:rFonts w:ascii="Arial" w:hAnsi="Arial"/>
                <w:color w:val="24313A"/>
                <w:sz w:val="16"/>
              </w:rPr>
              <w:t>Fiscal scale</w:t>
            </w:r>
          </w:p>
        </w:tc>
        <w:tc>
          <w:tcPr>
            <w:tcW w:type="dxa" w:w="7560"/>
            <w:tcMar>
              <w:top w:w="75" w:type="dxa"/>
              <w:start w:w="85" w:type="dxa"/>
              <w:bottom w:w="75" w:type="dxa"/>
              <w:end w:w="85" w:type="dxa"/>
            </w:tcMar>
            <w:vAlign w:val="top"/>
          </w:tcPr>
          <w:p>
            <w:pPr>
              <w:spacing w:after="0"/>
            </w:pPr>
            <w:r>
              <w:rPr>
                <w:rFonts w:ascii="Arial" w:hAnsi="Arial"/>
                <w:color w:val="24313A"/>
                <w:sz w:val="16"/>
              </w:rPr>
              <w:t>Official or modeled revenue, outlay, household resource, or compliance-cost effect.</w:t>
            </w:r>
          </w:p>
        </w:tc>
      </w:tr>
      <w:tr>
        <w:trPr>
          <w:cantSplit/>
        </w:trPr>
        <w:tc>
          <w:tcPr>
            <w:tcW w:type="dxa" w:w="1944"/>
            <w:shd w:fill="F7F9FA"/>
            <w:tcMar>
              <w:top w:w="75" w:type="dxa"/>
              <w:start w:w="85" w:type="dxa"/>
              <w:bottom w:w="75" w:type="dxa"/>
              <w:end w:w="85" w:type="dxa"/>
            </w:tcMar>
            <w:vAlign w:val="top"/>
          </w:tcPr>
          <w:p>
            <w:pPr>
              <w:spacing w:after="0"/>
            </w:pPr>
            <w:r>
              <w:rPr>
                <w:rFonts w:ascii="Arial" w:hAnsi="Arial"/>
                <w:color w:val="24313A"/>
                <w:sz w:val="16"/>
              </w:rPr>
              <w:t>Concentration</w:t>
            </w:r>
          </w:p>
        </w:tc>
        <w:tc>
          <w:tcPr>
            <w:tcW w:type="dxa" w:w="7560"/>
            <w:shd w:fill="F7F9FA"/>
            <w:tcMar>
              <w:top w:w="75" w:type="dxa"/>
              <w:start w:w="85" w:type="dxa"/>
              <w:bottom w:w="75" w:type="dxa"/>
              <w:end w:w="85" w:type="dxa"/>
            </w:tcMar>
            <w:vAlign w:val="top"/>
          </w:tcPr>
          <w:p>
            <w:pPr>
              <w:spacing w:after="0"/>
            </w:pPr>
            <w:r>
              <w:rPr>
                <w:rFonts w:ascii="Arial" w:hAnsi="Arial"/>
                <w:color w:val="24313A"/>
                <w:sz w:val="16"/>
              </w:rPr>
              <w:t>Share of total benefit or burden accruing to a small group.</w:t>
            </w:r>
          </w:p>
        </w:tc>
      </w:tr>
      <w:tr>
        <w:trPr>
          <w:cantSplit/>
        </w:trPr>
        <w:tc>
          <w:tcPr>
            <w:tcW w:type="dxa" w:w="1944"/>
            <w:tcMar>
              <w:top w:w="75" w:type="dxa"/>
              <w:start w:w="85" w:type="dxa"/>
              <w:bottom w:w="75" w:type="dxa"/>
              <w:end w:w="85" w:type="dxa"/>
            </w:tcMar>
            <w:vAlign w:val="top"/>
          </w:tcPr>
          <w:p>
            <w:pPr>
              <w:spacing w:after="0"/>
            </w:pPr>
            <w:r>
              <w:rPr>
                <w:rFonts w:ascii="Arial" w:hAnsi="Arial"/>
                <w:color w:val="24313A"/>
                <w:sz w:val="16"/>
              </w:rPr>
              <w:t>Timing</w:t>
            </w:r>
          </w:p>
        </w:tc>
        <w:tc>
          <w:tcPr>
            <w:tcW w:type="dxa" w:w="7560"/>
            <w:tcMar>
              <w:top w:w="75" w:type="dxa"/>
              <w:start w:w="85" w:type="dxa"/>
              <w:bottom w:w="75" w:type="dxa"/>
              <w:end w:w="85" w:type="dxa"/>
            </w:tcMar>
            <w:vAlign w:val="top"/>
          </w:tcPr>
          <w:p>
            <w:pPr>
              <w:spacing w:after="0"/>
            </w:pPr>
            <w:r>
              <w:rPr>
                <w:rFonts w:ascii="Arial" w:hAnsi="Arial"/>
                <w:color w:val="24313A"/>
                <w:sz w:val="16"/>
              </w:rPr>
              <w:t>Retroactivity, immediate effect, cliff, expiration, or budget-window sunset.</w:t>
            </w:r>
          </w:p>
        </w:tc>
      </w:tr>
      <w:tr>
        <w:trPr>
          <w:cantSplit/>
        </w:trPr>
        <w:tc>
          <w:tcPr>
            <w:tcW w:type="dxa" w:w="1944"/>
            <w:shd w:fill="F7F9FA"/>
            <w:tcMar>
              <w:top w:w="75" w:type="dxa"/>
              <w:start w:w="85" w:type="dxa"/>
              <w:bottom w:w="75" w:type="dxa"/>
              <w:end w:w="85" w:type="dxa"/>
            </w:tcMar>
            <w:vAlign w:val="top"/>
          </w:tcPr>
          <w:p>
            <w:pPr>
              <w:spacing w:after="0"/>
            </w:pPr>
            <w:r>
              <w:rPr>
                <w:rFonts w:ascii="Arial" w:hAnsi="Arial"/>
                <w:color w:val="24313A"/>
                <w:sz w:val="16"/>
              </w:rPr>
              <w:t>Discretion</w:t>
            </w:r>
          </w:p>
        </w:tc>
        <w:tc>
          <w:tcPr>
            <w:tcW w:type="dxa" w:w="7560"/>
            <w:shd w:fill="F7F9FA"/>
            <w:tcMar>
              <w:top w:w="75" w:type="dxa"/>
              <w:start w:w="85" w:type="dxa"/>
              <w:bottom w:w="75" w:type="dxa"/>
              <w:end w:w="85" w:type="dxa"/>
            </w:tcMar>
            <w:vAlign w:val="top"/>
          </w:tcPr>
          <w:p>
            <w:pPr>
              <w:spacing w:after="0"/>
            </w:pPr>
            <w:r>
              <w:rPr>
                <w:rFonts w:ascii="Arial" w:hAnsi="Arial"/>
                <w:color w:val="24313A"/>
                <w:sz w:val="16"/>
              </w:rPr>
              <w:t>Broad waiver, undefined standard, agency selection authority, or limited appeal.</w:t>
            </w:r>
          </w:p>
        </w:tc>
      </w:tr>
      <w:tr>
        <w:trPr>
          <w:cantSplit/>
        </w:trPr>
        <w:tc>
          <w:tcPr>
            <w:tcW w:type="dxa" w:w="1944"/>
            <w:tcMar>
              <w:top w:w="75" w:type="dxa"/>
              <w:start w:w="85" w:type="dxa"/>
              <w:bottom w:w="75" w:type="dxa"/>
              <w:end w:w="85" w:type="dxa"/>
            </w:tcMar>
            <w:vAlign w:val="top"/>
          </w:tcPr>
          <w:p>
            <w:pPr>
              <w:spacing w:after="0"/>
            </w:pPr>
            <w:r>
              <w:rPr>
                <w:rFonts w:ascii="Arial" w:hAnsi="Arial"/>
                <w:color w:val="24313A"/>
                <w:sz w:val="16"/>
              </w:rPr>
              <w:t>Process</w:t>
            </w:r>
          </w:p>
        </w:tc>
        <w:tc>
          <w:tcPr>
            <w:tcW w:type="dxa" w:w="7560"/>
            <w:tcMar>
              <w:top w:w="75" w:type="dxa"/>
              <w:start w:w="85" w:type="dxa"/>
              <w:bottom w:w="75" w:type="dxa"/>
              <w:end w:w="85" w:type="dxa"/>
            </w:tcMar>
            <w:vAlign w:val="top"/>
          </w:tcPr>
          <w:p>
            <w:pPr>
              <w:spacing w:after="0"/>
            </w:pPr>
            <w:r>
              <w:rPr>
                <w:rFonts w:ascii="Arial" w:hAnsi="Arial"/>
                <w:color w:val="24313A"/>
                <w:sz w:val="16"/>
              </w:rPr>
              <w:t>Late insertion, limited public review, incorporation by reference, or hidden conforming amendment.</w:t>
            </w:r>
          </w:p>
        </w:tc>
      </w:tr>
      <w:tr>
        <w:trPr>
          <w:cantSplit/>
        </w:trPr>
        <w:tc>
          <w:tcPr>
            <w:tcW w:type="dxa" w:w="1944"/>
            <w:shd w:fill="F7F9FA"/>
            <w:tcMar>
              <w:top w:w="75" w:type="dxa"/>
              <w:start w:w="85" w:type="dxa"/>
              <w:bottom w:w="75" w:type="dxa"/>
              <w:end w:w="85" w:type="dxa"/>
            </w:tcMar>
            <w:vAlign w:val="top"/>
          </w:tcPr>
          <w:p>
            <w:pPr>
              <w:spacing w:after="0"/>
            </w:pPr>
            <w:r>
              <w:rPr>
                <w:rFonts w:ascii="Arial" w:hAnsi="Arial"/>
                <w:color w:val="24313A"/>
                <w:sz w:val="16"/>
              </w:rPr>
              <w:t>Uncertainty</w:t>
            </w:r>
          </w:p>
        </w:tc>
        <w:tc>
          <w:tcPr>
            <w:tcW w:type="dxa" w:w="7560"/>
            <w:shd w:fill="F7F9FA"/>
            <w:tcMar>
              <w:top w:w="75" w:type="dxa"/>
              <w:start w:w="85" w:type="dxa"/>
              <w:bottom w:w="75" w:type="dxa"/>
              <w:end w:w="85" w:type="dxa"/>
            </w:tcMar>
            <w:vAlign w:val="top"/>
          </w:tcPr>
          <w:p>
            <w:pPr>
              <w:spacing w:after="0"/>
            </w:pPr>
            <w:r>
              <w:rPr>
                <w:rFonts w:ascii="Arial" w:hAnsi="Arial"/>
                <w:color w:val="24313A"/>
                <w:sz w:val="16"/>
              </w:rPr>
              <w:t>Ambiguity or dependence on future rules and behavior.</w:t>
            </w:r>
          </w:p>
        </w:tc>
      </w:tr>
    </w:tbl>
    <w:p>
      <w:pPr>
        <w:pStyle w:val="Heading2"/>
      </w:pPr>
      <w:r>
        <w:t>6.6 Analysis units and provision clusters</w:t>
      </w:r>
    </w:p>
    <w:p>
      <w:r>
        <w:t>A provision remains the primary traceable legal object, but the smallest valid analytical object may be an analysis unit containing several interacting provisions. Definitions, conforming amendments, aggregation rules, or cross-referenced changes that cannot be interpreted independently should be grouped without losing their individual source spans.</w:t>
      </w:r>
    </w:p>
    <w:p>
      <w:pPr>
        <w:pStyle w:val="Heading2"/>
      </w:pPr>
      <w:r>
        <w:t>6.7 Legislative surge operations</w:t>
      </w:r>
    </w:p>
    <w:p>
      <w:r>
        <w:t>During high-volume events, the platform should triage by materiality, impact, novelty, ambiguity, and reputational risk. Publish source-verified facts first, release controlled provisional analysis as it clears automated checks, and direct scarce reviewer capacity to consequential exceptions. Queue age, coverage, escalation reasons, and verified percentage should be visible operational metrics.</w:t>
      </w:r>
    </w:p>
    <w:p>
      <w:bookmarkStart w:id="70" w:name="impact"/>
      <w:pPr>
        <w:pStyle w:val="Heading1"/>
      </w:pPr>
      <w:r>
        <w:t>7. Public-impact modeling</w:t>
      </w:r>
      <w:bookmarkEnd w:id="70"/>
    </w:p>
    <w:p>
      <w:pPr>
        <w:pStyle w:val="Heading2"/>
      </w:pPr>
      <w:r>
        <w:t>7.1 Impact domains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088"/>
            <w:shd w:fill="17324D"/>
            <w:tcMar>
              <w:top w:w="90" w:type="dxa"/>
              <w:start w:w="90" w:type="dxa"/>
              <w:bottom w:w="90" w:type="dxa"/>
              <w:end w:w="90" w:type="dxa"/>
            </w:tcMar>
            <w:vAlign w:val="center"/>
          </w:tcPr>
          <w:p>
            <w:pPr>
              <w:jc w:val="left"/>
            </w:pPr>
            <w:r>
              <w:rPr>
                <w:rFonts w:ascii="Arial" w:hAnsi="Arial"/>
                <w:b/>
                <w:color w:val="FFFFFF"/>
                <w:sz w:val="16"/>
              </w:rPr>
              <w:t>Domain</w:t>
            </w:r>
          </w:p>
        </w:tc>
        <w:tc>
          <w:tcPr>
            <w:tcW w:type="dxa" w:w="7416"/>
            <w:shd w:fill="17324D"/>
            <w:tcMar>
              <w:top w:w="90" w:type="dxa"/>
              <w:start w:w="90" w:type="dxa"/>
              <w:bottom w:w="90" w:type="dxa"/>
              <w:end w:w="90" w:type="dxa"/>
            </w:tcMar>
            <w:vAlign w:val="center"/>
          </w:tcPr>
          <w:p>
            <w:pPr>
              <w:jc w:val="left"/>
            </w:pPr>
            <w:r>
              <w:rPr>
                <w:rFonts w:ascii="Arial" w:hAnsi="Arial"/>
                <w:b/>
                <w:color w:val="FFFFFF"/>
                <w:sz w:val="16"/>
              </w:rPr>
              <w:t>Core questions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Federal budget</w:t>
            </w:r>
          </w:p>
        </w:tc>
        <w:tc>
          <w:tcPr>
            <w:tcW w:type="dxa" w:w="7416"/>
            <w:tcMar>
              <w:top w:w="75" w:type="dxa"/>
              <w:start w:w="85" w:type="dxa"/>
              <w:bottom w:w="75" w:type="dxa"/>
              <w:end w:w="85" w:type="dxa"/>
            </w:tcMar>
            <w:vAlign w:val="top"/>
          </w:tcPr>
          <w:p>
            <w:pPr>
              <w:spacing w:after="0"/>
            </w:pPr>
            <w:r>
              <w:rPr>
                <w:rFonts w:ascii="Arial" w:hAnsi="Arial"/>
                <w:color w:val="24313A"/>
                <w:sz w:val="15"/>
              </w:rPr>
              <w:t>How do revenues, outlays, deficits, debt service, mandates, and administrative costs change?</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5"/>
              </w:rPr>
              <w:t>Household resources</w:t>
            </w:r>
          </w:p>
        </w:tc>
        <w:tc>
          <w:tcPr>
            <w:tcW w:type="dxa" w:w="7416"/>
            <w:shd w:fill="F7F9FA"/>
            <w:tcMar>
              <w:top w:w="75" w:type="dxa"/>
              <w:start w:w="85" w:type="dxa"/>
              <w:bottom w:w="75" w:type="dxa"/>
              <w:end w:w="85" w:type="dxa"/>
            </w:tcMar>
            <w:vAlign w:val="top"/>
          </w:tcPr>
          <w:p>
            <w:pPr>
              <w:spacing w:after="0"/>
            </w:pPr>
            <w:r>
              <w:rPr>
                <w:rFonts w:ascii="Arial" w:hAnsi="Arial"/>
                <w:color w:val="24313A"/>
                <w:sz w:val="15"/>
              </w:rPr>
              <w:t>How do taxes, cash transfers, in-kind benefits, premiums, fees, and financing costs change?</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Tax distribution</w:t>
            </w:r>
          </w:p>
        </w:tc>
        <w:tc>
          <w:tcPr>
            <w:tcW w:type="dxa" w:w="7416"/>
            <w:tcMar>
              <w:top w:w="75" w:type="dxa"/>
              <w:start w:w="85" w:type="dxa"/>
              <w:bottom w:w="75" w:type="dxa"/>
              <w:end w:w="85" w:type="dxa"/>
            </w:tcMar>
            <w:vAlign w:val="top"/>
          </w:tcPr>
          <w:p>
            <w:pPr>
              <w:spacing w:after="0"/>
            </w:pPr>
            <w:r>
              <w:rPr>
                <w:rFonts w:ascii="Arial" w:hAnsi="Arial"/>
                <w:color w:val="24313A"/>
                <w:sz w:val="15"/>
              </w:rPr>
              <w:t>Which income groups, tax units, business owners, and forms of income bear the statutory and economic incidence?</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5"/>
              </w:rPr>
              <w:t>Program access</w:t>
            </w:r>
          </w:p>
        </w:tc>
        <w:tc>
          <w:tcPr>
            <w:tcW w:type="dxa" w:w="7416"/>
            <w:shd w:fill="F7F9FA"/>
            <w:tcMar>
              <w:top w:w="75" w:type="dxa"/>
              <w:start w:w="85" w:type="dxa"/>
              <w:bottom w:w="75" w:type="dxa"/>
              <w:end w:w="85" w:type="dxa"/>
            </w:tcMar>
            <w:vAlign w:val="top"/>
          </w:tcPr>
          <w:p>
            <w:pPr>
              <w:spacing w:after="0"/>
            </w:pPr>
            <w:r>
              <w:rPr>
                <w:rFonts w:ascii="Arial" w:hAnsi="Arial"/>
                <w:color w:val="24313A"/>
                <w:sz w:val="15"/>
              </w:rPr>
              <w:t>Who newly qualifies, loses eligibility, faces paperwork, or encounters benefit cliffs?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Business / industry</w:t>
            </w:r>
          </w:p>
        </w:tc>
        <w:tc>
          <w:tcPr>
            <w:tcW w:type="dxa" w:w="7416"/>
            <w:tcMar>
              <w:top w:w="75" w:type="dxa"/>
              <w:start w:w="85" w:type="dxa"/>
              <w:bottom w:w="75" w:type="dxa"/>
              <w:end w:w="85" w:type="dxa"/>
            </w:tcMar>
            <w:vAlign w:val="top"/>
          </w:tcPr>
          <w:p>
            <w:pPr>
              <w:spacing w:after="0"/>
            </w:pPr>
            <w:r>
              <w:rPr>
                <w:rFonts w:ascii="Arial" w:hAnsi="Arial"/>
                <w:color w:val="24313A"/>
                <w:sz w:val="15"/>
              </w:rPr>
              <w:t>Which sectors, entity types, sizes, technologies, ownership structures, or incumbent positions gain or lose?</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5"/>
              </w:rPr>
              <w:t>Geography</w:t>
            </w:r>
          </w:p>
        </w:tc>
        <w:tc>
          <w:tcPr>
            <w:tcW w:type="dxa" w:w="7416"/>
            <w:shd w:fill="F7F9FA"/>
            <w:tcMar>
              <w:top w:w="75" w:type="dxa"/>
              <w:start w:w="85" w:type="dxa"/>
              <w:bottom w:w="75" w:type="dxa"/>
              <w:end w:w="85" w:type="dxa"/>
            </w:tcMar>
            <w:vAlign w:val="top"/>
          </w:tcPr>
          <w:p>
            <w:pPr>
              <w:spacing w:after="0"/>
            </w:pPr>
            <w:r>
              <w:rPr>
                <w:rFonts w:ascii="Arial" w:hAnsi="Arial"/>
                <w:color w:val="24313A"/>
                <w:sz w:val="15"/>
              </w:rPr>
              <w:t>Which states, districts, rural/urban areas, designated zones, tribes, or jurisdictions are affected?</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Administration</w:t>
            </w:r>
          </w:p>
        </w:tc>
        <w:tc>
          <w:tcPr>
            <w:tcW w:type="dxa" w:w="7416"/>
            <w:tcMar>
              <w:top w:w="75" w:type="dxa"/>
              <w:start w:w="85" w:type="dxa"/>
              <w:bottom w:w="75" w:type="dxa"/>
              <w:end w:w="85" w:type="dxa"/>
            </w:tcMar>
            <w:vAlign w:val="top"/>
          </w:tcPr>
          <w:p>
            <w:pPr>
              <w:spacing w:after="0"/>
            </w:pPr>
            <w:r>
              <w:rPr>
                <w:rFonts w:ascii="Arial" w:hAnsi="Arial"/>
                <w:color w:val="24313A"/>
                <w:sz w:val="15"/>
              </w:rPr>
              <w:t>What systems, staffing, forms, data matching, enforcement, appeals, or state actions are required?</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5"/>
              </w:rPr>
              <w:t>Behavior / economy</w:t>
            </w:r>
          </w:p>
        </w:tc>
        <w:tc>
          <w:tcPr>
            <w:tcW w:type="dxa" w:w="7416"/>
            <w:shd w:fill="F7F9FA"/>
            <w:tcMar>
              <w:top w:w="75" w:type="dxa"/>
              <w:start w:w="85" w:type="dxa"/>
              <w:bottom w:w="75" w:type="dxa"/>
              <w:end w:w="85" w:type="dxa"/>
            </w:tcMar>
            <w:vAlign w:val="top"/>
          </w:tcPr>
          <w:p>
            <w:pPr>
              <w:spacing w:after="0"/>
            </w:pPr>
            <w:r>
              <w:rPr>
                <w:rFonts w:ascii="Arial" w:hAnsi="Arial"/>
                <w:color w:val="24313A"/>
                <w:sz w:val="15"/>
              </w:rPr>
              <w:t>What plausible changes occur in work, saving, investment, prices, coverage, location, entity form, or timing?</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Long-term / intergenerational</w:t>
            </w:r>
          </w:p>
        </w:tc>
        <w:tc>
          <w:tcPr>
            <w:tcW w:type="dxa" w:w="7416"/>
            <w:tcMar>
              <w:top w:w="75" w:type="dxa"/>
              <w:start w:w="85" w:type="dxa"/>
              <w:bottom w:w="75" w:type="dxa"/>
              <w:end w:w="85" w:type="dxa"/>
            </w:tcMar>
            <w:vAlign w:val="top"/>
          </w:tcPr>
          <w:p>
            <w:pPr>
              <w:spacing w:after="0"/>
            </w:pPr>
            <w:r>
              <w:rPr>
                <w:rFonts w:ascii="Arial" w:hAnsi="Arial"/>
                <w:color w:val="24313A"/>
                <w:sz w:val="15"/>
              </w:rPr>
              <w:t>How are effects shifted over time through debt, trust funds, sunsets, delayed rules, or future liabilities?</w:t>
            </w:r>
          </w:p>
        </w:tc>
      </w:tr>
    </w:tbl>
    <w:p>
      <w:pPr>
        <w:pStyle w:val="Heading2"/>
      </w:pPr>
      <w:r>
        <w:t>7.2 Distributional unit</w:t>
      </w:r>
    </w:p>
    <w:p>
      <w:pPr>
        <w:spacing w:after="120" w:line="259" w:lineRule="auto"/>
      </w:pPr>
      <w:r>
        <w:rPr>
          <w:rFonts w:ascii="Arial" w:hAnsi="Arial"/>
          <w:color w:val="24313A"/>
          <w:sz w:val="19"/>
        </w:rPr>
        <w:t>The platform should publish results using several units because no single measure is sufficient: tax unit, household, person, income percentile, income source, age, family type, and geography. Statutory tax brackets may be shown for familiarity but should not be the principal distributional framework.</w:t>
      </w:r>
    </w:p>
    <w:p>
      <w:pPr>
        <w:pStyle w:val="Heading2"/>
      </w:pPr>
      <w:r>
        <w:t>7.3 Household resource equation</w:t>
      </w:r>
    </w:p>
    <w:tbl>
      <w:tblPr>
        <w:tblW w:type="auto" w:w="0"/>
        <w:jc w:val="center"/>
        <w:tblLayout w:type="fixed"/>
        <w:tblLook w:firstColumn="1" w:firstRow="1" w:lastColumn="0" w:lastRow="0" w:noHBand="0" w:noVBand="1" w:val="04A0"/>
        <w:tblBorders>
          <w:top w:val="single" w:sz="10" w:space="0" w:color="2B6F9F"/>
          <w:left w:val="single" w:sz="10" w:space="0" w:color="2B6F9F"/>
          <w:bottom w:val="single" w:sz="10" w:space="0" w:color="2B6F9F"/>
          <w:right w:val="single" w:sz="10" w:space="0" w:color="2B6F9F"/>
          <w:insideH w:val="single" w:sz="10" w:space="0" w:color="2B6F9F"/>
          <w:insideV w:val="single" w:sz="10" w:space="0" w:color="2B6F9F"/>
        </w:tblBorders>
      </w:tblPr>
      <w:tblGrid>
        <w:gridCol w:w="9504"/>
      </w:tblGrid>
      <w:tr>
        <w:trPr>
          <w:cantSplit/>
          <w:tblHeader w:val="true"/>
        </w:trPr>
        <w:tc>
          <w:tcPr>
            <w:tcW w:type="dxa" w:w="9878"/>
            <w:shd w:fill="EAF2F8"/>
            <w:tcMar>
              <w:top w:w="130" w:type="dxa"/>
              <w:start w:w="170" w:type="dxa"/>
              <w:bottom w:w="130" w:type="dxa"/>
              <w:end w:w="170" w:type="dxa"/>
            </w:tcMar>
          </w:tcPr>
          <w:p>
            <w:pPr>
              <w:spacing w:after="80"/>
            </w:pPr>
            <w:r>
              <w:rPr>
                <w:rFonts w:ascii="Arial" w:hAnsi="Arial"/>
                <w:b/>
                <w:color w:val="2B6F9F"/>
                <w:sz w:val="22"/>
              </w:rPr>
              <w:t>Conceptual calculation</w:t>
            </w:r>
          </w:p>
          <w:p>
            <w:pPr>
              <w:spacing w:after="0"/>
            </w:pPr>
            <w:r>
              <w:rPr>
                <w:rFonts w:ascii="Arial" w:hAnsi="Arial"/>
                <w:color w:val="24313A"/>
                <w:sz w:val="19"/>
              </w:rPr>
              <w:t>Net household resource change = tax change + cash-transfer change + estimated value of in-kind benefit change + premium/fee change + financing or price effects − compliance costs. Each component must be shown separately; components should not be combined when methods are incompatible.</w:t>
            </w:r>
          </w:p>
        </w:tc>
      </w:tr>
    </w:tbl>
    <w:p>
      <w:pPr>
        <w:pStyle w:val="Heading2"/>
      </w:pPr>
      <w:r>
        <w:t>7.4 Modeling tiers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3293"/>
        <w:gridCol w:w="3293"/>
        <w:gridCol w:w="3293"/>
      </w:tblGrid>
      <w:tr>
        <w:trPr>
          <w:tblHeader w:val="true"/>
          <w:cantSplit/>
        </w:trPr>
        <w:tc>
          <w:tcPr>
            <w:tcW w:type="dxa" w:w="1728"/>
            <w:shd w:fill="17324D"/>
            <w:tcMar>
              <w:top w:w="90" w:type="dxa"/>
              <w:start w:w="90" w:type="dxa"/>
              <w:bottom w:w="90" w:type="dxa"/>
              <w:end w:w="90" w:type="dxa"/>
            </w:tcMar>
            <w:vAlign w:val="center"/>
          </w:tcPr>
          <w:p>
            <w:pPr>
              <w:jc w:val="left"/>
            </w:pPr>
            <w:r>
              <w:rPr>
                <w:rFonts w:ascii="Arial" w:hAnsi="Arial"/>
                <w:b/>
                <w:color w:val="FFFFFF"/>
                <w:sz w:val="16"/>
              </w:rPr>
              <w:t>Tier</w:t>
            </w:r>
          </w:p>
        </w:tc>
        <w:tc>
          <w:tcPr>
            <w:tcW w:type="dxa" w:w="3528"/>
            <w:shd w:fill="17324D"/>
            <w:tcMar>
              <w:top w:w="90" w:type="dxa"/>
              <w:start w:w="90" w:type="dxa"/>
              <w:bottom w:w="90" w:type="dxa"/>
              <w:end w:w="90" w:type="dxa"/>
            </w:tcMar>
            <w:vAlign w:val="center"/>
          </w:tcPr>
          <w:p>
            <w:pPr>
              <w:jc w:val="left"/>
            </w:pPr>
            <w:r>
              <w:rPr>
                <w:rFonts w:ascii="Arial" w:hAnsi="Arial"/>
                <w:b/>
                <w:color w:val="FFFFFF"/>
                <w:sz w:val="16"/>
              </w:rPr>
              <w:t>Method</w:t>
            </w:r>
          </w:p>
        </w:tc>
        <w:tc>
          <w:tcPr>
            <w:tcW w:type="dxa" w:w="4248"/>
            <w:shd w:fill="17324D"/>
            <w:tcMar>
              <w:top w:w="90" w:type="dxa"/>
              <w:start w:w="90" w:type="dxa"/>
              <w:bottom w:w="90" w:type="dxa"/>
              <w:end w:w="90" w:type="dxa"/>
            </w:tcMar>
            <w:vAlign w:val="center"/>
          </w:tcPr>
          <w:p>
            <w:pPr>
              <w:jc w:val="left"/>
            </w:pPr>
            <w:r>
              <w:rPr>
                <w:rFonts w:ascii="Arial" w:hAnsi="Arial"/>
                <w:b/>
                <w:color w:val="FFFFFF"/>
                <w:sz w:val="16"/>
              </w:rPr>
              <w:t>Use</w:t>
            </w:r>
          </w:p>
        </w:tc>
      </w:tr>
      <w:tr>
        <w:trPr>
          <w:cantSplit/>
        </w:trPr>
        <w:tc>
          <w:tcPr>
            <w:tcW w:type="dxa" w:w="1728"/>
            <w:tcMar>
              <w:top w:w="75" w:type="dxa"/>
              <w:start w:w="85" w:type="dxa"/>
              <w:bottom w:w="75" w:type="dxa"/>
              <w:end w:w="85" w:type="dxa"/>
            </w:tcMar>
            <w:vAlign w:val="top"/>
          </w:tcPr>
          <w:p>
            <w:pPr>
              <w:spacing w:after="0"/>
            </w:pPr>
            <w:r>
              <w:rPr>
                <w:rFonts w:ascii="Arial" w:hAnsi="Arial"/>
                <w:color w:val="24313A"/>
                <w:sz w:val="15"/>
              </w:rPr>
              <w:t>0 — Descriptive</w:t>
            </w:r>
          </w:p>
        </w:tc>
        <w:tc>
          <w:tcPr>
            <w:tcW w:type="dxa" w:w="3528"/>
            <w:tcMar>
              <w:top w:w="75" w:type="dxa"/>
              <w:start w:w="85" w:type="dxa"/>
              <w:bottom w:w="75" w:type="dxa"/>
              <w:end w:w="85" w:type="dxa"/>
            </w:tcMar>
            <w:vAlign w:val="top"/>
          </w:tcPr>
          <w:p>
            <w:pPr>
              <w:spacing w:after="0"/>
            </w:pPr>
            <w:r>
              <w:rPr>
                <w:rFonts w:ascii="Arial" w:hAnsi="Arial"/>
                <w:color w:val="24313A"/>
                <w:sz w:val="15"/>
              </w:rPr>
              <w:t>No numeric model; identify rules, dates, populations, and unknowns.</w:t>
            </w:r>
          </w:p>
        </w:tc>
        <w:tc>
          <w:tcPr>
            <w:tcW w:type="dxa" w:w="4248"/>
            <w:tcMar>
              <w:top w:w="75" w:type="dxa"/>
              <w:start w:w="85" w:type="dxa"/>
              <w:bottom w:w="75" w:type="dxa"/>
              <w:end w:w="85" w:type="dxa"/>
            </w:tcMar>
            <w:vAlign w:val="top"/>
          </w:tcPr>
          <w:p>
            <w:pPr>
              <w:spacing w:after="0"/>
            </w:pPr>
            <w:r>
              <w:rPr>
                <w:rFonts w:ascii="Arial" w:hAnsi="Arial"/>
                <w:color w:val="24313A"/>
                <w:sz w:val="15"/>
              </w:rPr>
              <w:t>Ambiguous, non-financial, or data-poor provisions.</w:t>
            </w:r>
          </w:p>
        </w:tc>
      </w:tr>
      <w:tr>
        <w:trPr>
          <w:cantSplit/>
        </w:trPr>
        <w:tc>
          <w:tcPr>
            <w:tcW w:type="dxa" w:w="1728"/>
            <w:shd w:fill="F7F9FA"/>
            <w:tcMar>
              <w:top w:w="75" w:type="dxa"/>
              <w:start w:w="85" w:type="dxa"/>
              <w:bottom w:w="75" w:type="dxa"/>
              <w:end w:w="85" w:type="dxa"/>
            </w:tcMar>
            <w:vAlign w:val="top"/>
          </w:tcPr>
          <w:p>
            <w:pPr>
              <w:spacing w:after="0"/>
            </w:pPr>
            <w:r>
              <w:rPr>
                <w:rFonts w:ascii="Arial" w:hAnsi="Arial"/>
                <w:color w:val="24313A"/>
                <w:sz w:val="15"/>
              </w:rPr>
              <w:t>1 — Deterministic examples</w:t>
            </w:r>
          </w:p>
        </w:tc>
        <w:tc>
          <w:tcPr>
            <w:tcW w:type="dxa" w:w="3528"/>
            <w:shd w:fill="F7F9FA"/>
            <w:tcMar>
              <w:top w:w="75" w:type="dxa"/>
              <w:start w:w="85" w:type="dxa"/>
              <w:bottom w:w="75" w:type="dxa"/>
              <w:end w:w="85" w:type="dxa"/>
            </w:tcMar>
            <w:vAlign w:val="top"/>
          </w:tcPr>
          <w:p>
            <w:pPr>
              <w:spacing w:after="0"/>
            </w:pPr>
            <w:r>
              <w:rPr>
                <w:rFonts w:ascii="Arial" w:hAnsi="Arial"/>
                <w:color w:val="24313A"/>
                <w:sz w:val="15"/>
              </w:rPr>
              <w:t>Apply statutory formulas to representative households or entities.</w:t>
            </w:r>
          </w:p>
        </w:tc>
        <w:tc>
          <w:tcPr>
            <w:tcW w:type="dxa" w:w="4248"/>
            <w:shd w:fill="F7F9FA"/>
            <w:tcMar>
              <w:top w:w="75" w:type="dxa"/>
              <w:start w:w="85" w:type="dxa"/>
              <w:bottom w:w="75" w:type="dxa"/>
              <w:end w:w="85" w:type="dxa"/>
            </w:tcMar>
            <w:vAlign w:val="top"/>
          </w:tcPr>
          <w:p>
            <w:pPr>
              <w:spacing w:after="0"/>
            </w:pPr>
            <w:r>
              <w:rPr>
                <w:rFonts w:ascii="Arial" w:hAnsi="Arial"/>
                <w:color w:val="24313A"/>
                <w:sz w:val="15"/>
              </w:rPr>
              <w:t>Fast explanation and regression testing.</w:t>
            </w:r>
          </w:p>
        </w:tc>
      </w:tr>
      <w:tr>
        <w:trPr>
          <w:cantSplit/>
        </w:trPr>
        <w:tc>
          <w:tcPr>
            <w:tcW w:type="dxa" w:w="1728"/>
            <w:tcMar>
              <w:top w:w="75" w:type="dxa"/>
              <w:start w:w="85" w:type="dxa"/>
              <w:bottom w:w="75" w:type="dxa"/>
              <w:end w:w="85" w:type="dxa"/>
            </w:tcMar>
            <w:vAlign w:val="top"/>
          </w:tcPr>
          <w:p>
            <w:pPr>
              <w:spacing w:after="0"/>
            </w:pPr>
            <w:r>
              <w:rPr>
                <w:rFonts w:ascii="Arial" w:hAnsi="Arial"/>
                <w:color w:val="24313A"/>
                <w:sz w:val="15"/>
              </w:rPr>
              <w:t>2 — Microsimulation</w:t>
            </w:r>
          </w:p>
        </w:tc>
        <w:tc>
          <w:tcPr>
            <w:tcW w:type="dxa" w:w="3528"/>
            <w:tcMar>
              <w:top w:w="75" w:type="dxa"/>
              <w:start w:w="85" w:type="dxa"/>
              <w:bottom w:w="75" w:type="dxa"/>
              <w:end w:w="85" w:type="dxa"/>
            </w:tcMar>
            <w:vAlign w:val="top"/>
          </w:tcPr>
          <w:p>
            <w:pPr>
              <w:spacing w:after="0"/>
            </w:pPr>
            <w:r>
              <w:rPr>
                <w:rFonts w:ascii="Arial" w:hAnsi="Arial"/>
                <w:color w:val="24313A"/>
                <w:sz w:val="15"/>
              </w:rPr>
              <w:t>Apply rules to weighted microdata and publish distributions.</w:t>
            </w:r>
          </w:p>
        </w:tc>
        <w:tc>
          <w:tcPr>
            <w:tcW w:type="dxa" w:w="4248"/>
            <w:tcMar>
              <w:top w:w="75" w:type="dxa"/>
              <w:start w:w="85" w:type="dxa"/>
              <w:bottom w:w="75" w:type="dxa"/>
              <w:end w:w="85" w:type="dxa"/>
            </w:tcMar>
            <w:vAlign w:val="top"/>
          </w:tcPr>
          <w:p>
            <w:pPr>
              <w:spacing w:after="0"/>
            </w:pPr>
            <w:r>
              <w:rPr>
                <w:rFonts w:ascii="Arial" w:hAnsi="Arial"/>
                <w:color w:val="24313A"/>
                <w:sz w:val="15"/>
              </w:rPr>
              <w:t>Tax and benefit proposals with suitable data.</w:t>
            </w:r>
          </w:p>
        </w:tc>
      </w:tr>
      <w:tr>
        <w:trPr>
          <w:cantSplit/>
        </w:trPr>
        <w:tc>
          <w:tcPr>
            <w:tcW w:type="dxa" w:w="1728"/>
            <w:shd w:fill="F7F9FA"/>
            <w:tcMar>
              <w:top w:w="75" w:type="dxa"/>
              <w:start w:w="85" w:type="dxa"/>
              <w:bottom w:w="75" w:type="dxa"/>
              <w:end w:w="85" w:type="dxa"/>
            </w:tcMar>
            <w:vAlign w:val="top"/>
          </w:tcPr>
          <w:p>
            <w:pPr>
              <w:spacing w:after="0"/>
            </w:pPr>
            <w:r>
              <w:rPr>
                <w:rFonts w:ascii="Arial" w:hAnsi="Arial"/>
                <w:color w:val="24313A"/>
                <w:sz w:val="15"/>
              </w:rPr>
              <w:t>3 — Behavioral</w:t>
            </w:r>
          </w:p>
        </w:tc>
        <w:tc>
          <w:tcPr>
            <w:tcW w:type="dxa" w:w="3528"/>
            <w:shd w:fill="F7F9FA"/>
            <w:tcMar>
              <w:top w:w="75" w:type="dxa"/>
              <w:start w:w="85" w:type="dxa"/>
              <w:bottom w:w="75" w:type="dxa"/>
              <w:end w:w="85" w:type="dxa"/>
            </w:tcMar>
            <w:vAlign w:val="top"/>
          </w:tcPr>
          <w:p>
            <w:pPr>
              <w:spacing w:after="0"/>
            </w:pPr>
            <w:r>
              <w:rPr>
                <w:rFonts w:ascii="Arial" w:hAnsi="Arial"/>
                <w:color w:val="24313A"/>
                <w:sz w:val="15"/>
              </w:rPr>
              <w:t>Add documented participation, timing, labor, saving, coverage, or entity-form responses.</w:t>
            </w:r>
          </w:p>
        </w:tc>
        <w:tc>
          <w:tcPr>
            <w:tcW w:type="dxa" w:w="4248"/>
            <w:shd w:fill="F7F9FA"/>
            <w:tcMar>
              <w:top w:w="75" w:type="dxa"/>
              <w:start w:w="85" w:type="dxa"/>
              <w:bottom w:w="75" w:type="dxa"/>
              <w:end w:w="85" w:type="dxa"/>
            </w:tcMar>
            <w:vAlign w:val="top"/>
          </w:tcPr>
          <w:p>
            <w:pPr>
              <w:spacing w:after="0"/>
            </w:pPr>
            <w:r>
              <w:rPr>
                <w:rFonts w:ascii="Arial" w:hAnsi="Arial"/>
                <w:color w:val="24313A"/>
                <w:sz w:val="15"/>
              </w:rPr>
              <w:t>Material proposals where behavior changes incidence.</w:t>
            </w:r>
          </w:p>
        </w:tc>
      </w:tr>
      <w:tr>
        <w:trPr>
          <w:cantSplit/>
        </w:trPr>
        <w:tc>
          <w:tcPr>
            <w:tcW w:type="dxa" w:w="1728"/>
            <w:tcMar>
              <w:top w:w="75" w:type="dxa"/>
              <w:start w:w="85" w:type="dxa"/>
              <w:bottom w:w="75" w:type="dxa"/>
              <w:end w:w="85" w:type="dxa"/>
            </w:tcMar>
            <w:vAlign w:val="top"/>
          </w:tcPr>
          <w:p>
            <w:pPr>
              <w:spacing w:after="0"/>
            </w:pPr>
            <w:r>
              <w:rPr>
                <w:rFonts w:ascii="Arial" w:hAnsi="Arial"/>
                <w:color w:val="24313A"/>
                <w:sz w:val="15"/>
              </w:rPr>
              <w:t>4 — Macroeconomic / market</w:t>
            </w:r>
          </w:p>
        </w:tc>
        <w:tc>
          <w:tcPr>
            <w:tcW w:type="dxa" w:w="3528"/>
            <w:tcMar>
              <w:top w:w="75" w:type="dxa"/>
              <w:start w:w="85" w:type="dxa"/>
              <w:bottom w:w="75" w:type="dxa"/>
              <w:end w:w="85" w:type="dxa"/>
            </w:tcMar>
            <w:vAlign w:val="top"/>
          </w:tcPr>
          <w:p>
            <w:pPr>
              <w:spacing w:after="0"/>
            </w:pPr>
            <w:r>
              <w:rPr>
                <w:rFonts w:ascii="Arial" w:hAnsi="Arial"/>
                <w:color w:val="24313A"/>
                <w:sz w:val="15"/>
              </w:rPr>
              <w:t>Use external or specialized models for prices, wages, output, interest, or sector effects.</w:t>
            </w:r>
          </w:p>
        </w:tc>
        <w:tc>
          <w:tcPr>
            <w:tcW w:type="dxa" w:w="4248"/>
            <w:tcMar>
              <w:top w:w="75" w:type="dxa"/>
              <w:start w:w="85" w:type="dxa"/>
              <w:bottom w:w="75" w:type="dxa"/>
              <w:end w:w="85" w:type="dxa"/>
            </w:tcMar>
            <w:vAlign w:val="top"/>
          </w:tcPr>
          <w:p>
            <w:pPr>
              <w:spacing w:after="0"/>
            </w:pPr>
            <w:r>
              <w:rPr>
                <w:rFonts w:ascii="Arial" w:hAnsi="Arial"/>
                <w:color w:val="24313A"/>
                <w:sz w:val="15"/>
              </w:rPr>
              <w:t>Selected major legislation only; results shown separately.</w:t>
            </w:r>
          </w:p>
        </w:tc>
      </w:tr>
    </w:tbl>
    <w:p>
      <w:pPr>
        <w:pStyle w:val="Heading2"/>
      </w:pPr>
      <w:r>
        <w:t>7.5 Baselines and governed model scenarios</w:t>
      </w:r>
    </w:p>
    <w:p>
      <w:pPr>
        <w:pStyle w:val="ListBullet"/>
        <w:spacing w:after="60"/>
        <w:ind w:left="0"/>
      </w:pPr>
      <w:r>
        <w:rPr>
          <w:rFonts w:ascii="Arial" w:hAnsi="Arial"/>
          <w:color w:val="24313A"/>
        </w:rPr>
        <w:t>Current-law baseline as of a stated date.</w:t>
      </w:r>
    </w:p>
    <w:p>
      <w:pPr>
        <w:pStyle w:val="ListBullet"/>
        <w:spacing w:after="60"/>
        <w:ind w:left="0"/>
      </w:pPr>
      <w:r>
        <w:rPr>
          <w:rFonts w:ascii="Arial" w:hAnsi="Arial"/>
          <w:color w:val="24313A"/>
        </w:rPr>
        <w:t>Official budget baseline where an official estimate relies on it.</w:t>
      </w:r>
    </w:p>
    <w:p>
      <w:pPr>
        <w:pStyle w:val="ListBullet"/>
        <w:spacing w:after="60"/>
        <w:ind w:left="0"/>
      </w:pPr>
      <w:r>
        <w:rPr>
          <w:rFonts w:ascii="Arial" w:hAnsi="Arial"/>
          <w:color w:val="24313A"/>
        </w:rPr>
        <w:t>Current-policy alternative when expiration assumptions are politically or analytically important.</w:t>
      </w:r>
    </w:p>
    <w:p>
      <w:pPr>
        <w:pStyle w:val="ListBullet"/>
        <w:spacing w:after="60"/>
        <w:ind w:left="0"/>
      </w:pPr>
      <w:r>
        <w:rPr>
          <w:rFonts w:ascii="Arial" w:hAnsi="Arial"/>
          <w:color w:val="24313A"/>
        </w:rPr>
        <w:t>Central, low, and high sensitivity cases for uncertain participation or behavior.</w:t>
      </w:r>
    </w:p>
    <w:p>
      <w:pPr>
        <w:pStyle w:val="ListBullet"/>
        <w:spacing w:after="60"/>
        <w:ind w:left="0"/>
      </w:pPr>
      <w:r>
        <w:rPr>
          <w:rFonts w:ascii="Arial" w:hAnsi="Arial"/>
          <w:color w:val="24313A"/>
        </w:rPr>
        <w:t>Enacted-law follow-up comparing forecast with observed implementation data.</w:t>
      </w:r>
    </w:p>
    <w:p>
      <w:pPr/>
      <w:r>
        <w:t>Each published report must identify one canonical base scenario. Alternative technical assumptions are represented as separately named, versioned model scenarios approved through the methods process. A perspective profile may compare or emphasize approved scenarios, but it may not modify their parameters or silently substitute one for the canonical result.</w:t>
      </w:r>
    </w:p>
    <w:p>
      <w:pPr>
        <w:pStyle w:val="Heading2"/>
      </w:pPr>
      <w:r>
        <w:t>7.6 Direct-federal-effects POC boundary</w:t>
      </w:r>
    </w:p>
    <w:p>
      <w:r>
        <w:t>The POC Household Impact Explorer estimates direct federal tax, transfer, fee, subsidy, and federally defined benefit effects. It may describe state implementation dependencies, but it should not present state-specific outcomes unless a separate model, data vintage, assumption set, and limitation statement support them. “Not modeled” is preferable to false precision.</w:t>
      </w:r>
    </w:p>
    <w:p>
      <w:pPr>
        <w:pStyle w:val="Heading2"/>
      </w:pPr>
      <w:r>
        <w:t>7.7 Formal baseline identity</w:t>
      </w:r>
    </w:p>
    <w:p>
      <w:r>
        <w:t>Every estimate must reference a stable baseline_id defining the controlling law or policy scenario, as-of date, economic or budget projection, expiration treatment, population, years, data vintage, and source. Results using current law, current policy, or a prior bill version must never be silently blended.</w:t>
      </w:r>
    </w:p>
    <w:p>
      <w:pPr>
        <w:pStyle w:val="Heading2"/>
      </w:pPr>
      <w:r>
        <w:t>7.8 Interactions, recipients, and incidence</w:t>
      </w:r>
    </w:p>
    <w:p>
      <w:r>
        <w:t>Provision-level effects must distinguish standalone effect, marginal effect given other provisions, combined package effect, and non-additive interaction effect. Reports must also distinguish statutory recipient, direct recipient, modeled economic beneficiary, and ultimate incidence. Where prices, wages, returns, rents, or behavior may shift the benefit or burden, the incidence assumption and uncertainty must be explicit.</w:t>
      </w:r>
    </w:p>
    <w:p>
      <w:pPr>
        <w:pStyle w:val="Heading2"/>
      </w:pPr>
      <w:r>
        <w:t>7.9 Tax and benefit model requirements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232"/>
            <w:shd w:fill="17324D"/>
            <w:tcMar>
              <w:top w:w="90" w:type="dxa"/>
              <w:start w:w="90" w:type="dxa"/>
              <w:bottom w:w="90" w:type="dxa"/>
              <w:end w:w="90" w:type="dxa"/>
            </w:tcMar>
            <w:vAlign w:val="center"/>
          </w:tcPr>
          <w:p>
            <w:pPr>
              <w:jc w:val="left"/>
            </w:pPr>
            <w:r>
              <w:rPr>
                <w:rFonts w:ascii="Arial" w:hAnsi="Arial"/>
                <w:b/>
                <w:color w:val="FFFFFF"/>
                <w:sz w:val="16"/>
              </w:rPr>
              <w:t>Requirement</w:t>
            </w:r>
          </w:p>
        </w:tc>
        <w:tc>
          <w:tcPr>
            <w:tcW w:type="dxa" w:w="7272"/>
            <w:shd w:fill="17324D"/>
            <w:tcMar>
              <w:top w:w="90" w:type="dxa"/>
              <w:start w:w="90" w:type="dxa"/>
              <w:bottom w:w="90" w:type="dxa"/>
              <w:end w:w="90" w:type="dxa"/>
            </w:tcMar>
            <w:vAlign w:val="center"/>
          </w:tcPr>
          <w:p>
            <w:pPr>
              <w:jc w:val="left"/>
            </w:pPr>
            <w:r>
              <w:rPr>
                <w:rFonts w:ascii="Arial" w:hAnsi="Arial"/>
                <w:b/>
                <w:color w:val="FFFFFF"/>
                <w:sz w:val="16"/>
              </w:rPr>
              <w:t>Implication</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6"/>
              </w:rPr>
              <w:t>Legally faithful</w:t>
            </w:r>
          </w:p>
        </w:tc>
        <w:tc>
          <w:tcPr>
            <w:tcW w:type="dxa" w:w="7272"/>
            <w:tcMar>
              <w:top w:w="75" w:type="dxa"/>
              <w:start w:w="85" w:type="dxa"/>
              <w:bottom w:w="75" w:type="dxa"/>
              <w:end w:w="85" w:type="dxa"/>
            </w:tcMar>
            <w:vAlign w:val="top"/>
          </w:tcPr>
          <w:p>
            <w:pPr>
              <w:spacing w:after="0"/>
            </w:pPr>
            <w:r>
              <w:rPr>
                <w:rFonts w:ascii="Arial" w:hAnsi="Arial"/>
                <w:color w:val="24313A"/>
                <w:sz w:val="16"/>
              </w:rPr>
              <w:t>Rules map to statutory language and documented administrative interpretation.</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6"/>
              </w:rPr>
              <w:t>Deterministic core</w:t>
            </w:r>
          </w:p>
        </w:tc>
        <w:tc>
          <w:tcPr>
            <w:tcW w:type="dxa" w:w="7272"/>
            <w:shd w:fill="F7F9FA"/>
            <w:tcMar>
              <w:top w:w="75" w:type="dxa"/>
              <w:start w:w="85" w:type="dxa"/>
              <w:bottom w:w="75" w:type="dxa"/>
              <w:end w:w="85" w:type="dxa"/>
            </w:tcMar>
            <w:vAlign w:val="top"/>
          </w:tcPr>
          <w:p>
            <w:pPr>
              <w:spacing w:after="0"/>
            </w:pPr>
            <w:r>
              <w:rPr>
                <w:rFonts w:ascii="Arial" w:hAnsi="Arial"/>
                <w:color w:val="24313A"/>
                <w:sz w:val="16"/>
              </w:rPr>
              <w:t>Given the same code, inputs, data, and random seed, results reproduce exactly.</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6"/>
              </w:rPr>
              <w:t>Modular</w:t>
            </w:r>
          </w:p>
        </w:tc>
        <w:tc>
          <w:tcPr>
            <w:tcW w:type="dxa" w:w="7272"/>
            <w:tcMar>
              <w:top w:w="75" w:type="dxa"/>
              <w:start w:w="85" w:type="dxa"/>
              <w:bottom w:w="75" w:type="dxa"/>
              <w:end w:w="85" w:type="dxa"/>
            </w:tcMar>
            <w:vAlign w:val="top"/>
          </w:tcPr>
          <w:p>
            <w:pPr>
              <w:spacing w:after="0"/>
            </w:pPr>
            <w:r>
              <w:rPr>
                <w:rFonts w:ascii="Arial" w:hAnsi="Arial"/>
                <w:color w:val="24313A"/>
                <w:sz w:val="16"/>
              </w:rPr>
              <w:t>Tax, health, retirement, nutrition, education, and other program modules can evolve independently with explicit interfaces.</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6"/>
              </w:rPr>
              <w:t>Time aware</w:t>
            </w:r>
          </w:p>
        </w:tc>
        <w:tc>
          <w:tcPr>
            <w:tcW w:type="dxa" w:w="7272"/>
            <w:shd w:fill="F7F9FA"/>
            <w:tcMar>
              <w:top w:w="75" w:type="dxa"/>
              <w:start w:w="85" w:type="dxa"/>
              <w:bottom w:w="75" w:type="dxa"/>
              <w:end w:w="85" w:type="dxa"/>
            </w:tcMar>
            <w:vAlign w:val="top"/>
          </w:tcPr>
          <w:p>
            <w:pPr>
              <w:spacing w:after="0"/>
            </w:pPr>
            <w:r>
              <w:rPr>
                <w:rFonts w:ascii="Arial" w:hAnsi="Arial"/>
                <w:color w:val="24313A"/>
                <w:sz w:val="16"/>
              </w:rPr>
              <w:t>Indexing, inflation adjustments, phase-ins, sunsets, carryforwards, transitions, and interactions operate across years.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6"/>
              </w:rPr>
              <w:t>Weighted and calibrated</w:t>
            </w:r>
          </w:p>
        </w:tc>
        <w:tc>
          <w:tcPr>
            <w:tcW w:type="dxa" w:w="7272"/>
            <w:tcMar>
              <w:top w:w="75" w:type="dxa"/>
              <w:start w:w="85" w:type="dxa"/>
              <w:bottom w:w="75" w:type="dxa"/>
              <w:end w:w="85" w:type="dxa"/>
            </w:tcMar>
            <w:vAlign w:val="top"/>
          </w:tcPr>
          <w:p>
            <w:pPr>
              <w:spacing w:after="0"/>
            </w:pPr>
            <w:r>
              <w:rPr>
                <w:rFonts w:ascii="Arial" w:hAnsi="Arial"/>
                <w:color w:val="24313A"/>
                <w:sz w:val="16"/>
              </w:rPr>
              <w:t>Microsimulation weights and calibration targets are documented and tested.</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6"/>
              </w:rPr>
              <w:t>Interaction aware</w:t>
            </w:r>
          </w:p>
        </w:tc>
        <w:tc>
          <w:tcPr>
            <w:tcW w:type="dxa" w:w="7272"/>
            <w:shd w:fill="F7F9FA"/>
            <w:tcMar>
              <w:top w:w="75" w:type="dxa"/>
              <w:start w:w="85" w:type="dxa"/>
              <w:bottom w:w="75" w:type="dxa"/>
              <w:end w:w="85" w:type="dxa"/>
            </w:tcMar>
            <w:vAlign w:val="top"/>
          </w:tcPr>
          <w:p>
            <w:pPr>
              <w:spacing w:after="0"/>
            </w:pPr>
            <w:r>
              <w:rPr>
                <w:rFonts w:ascii="Arial" w:hAnsi="Arial"/>
                <w:color w:val="24313A"/>
                <w:sz w:val="16"/>
              </w:rPr>
              <w:t>Credits, deductions, phaseouts, eligibility tests, and benefit programs are not analyzed in isolation when they interact.</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6"/>
              </w:rPr>
              <w:t>Auditable</w:t>
            </w:r>
          </w:p>
        </w:tc>
        <w:tc>
          <w:tcPr>
            <w:tcW w:type="dxa" w:w="7272"/>
            <w:tcMar>
              <w:top w:w="75" w:type="dxa"/>
              <w:start w:w="85" w:type="dxa"/>
              <w:bottom w:w="75" w:type="dxa"/>
              <w:end w:w="85" w:type="dxa"/>
            </w:tcMar>
            <w:vAlign w:val="top"/>
          </w:tcPr>
          <w:p>
            <w:pPr>
              <w:spacing w:after="0"/>
            </w:pPr>
            <w:r>
              <w:rPr>
                <w:rFonts w:ascii="Arial" w:hAnsi="Arial"/>
                <w:color w:val="24313A"/>
                <w:sz w:val="16"/>
              </w:rPr>
              <w:t>A result can be traced from aggregate distribution to record-level components under controlled analyst access.</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6"/>
              </w:rPr>
              <w:t>Comparable</w:t>
            </w:r>
          </w:p>
        </w:tc>
        <w:tc>
          <w:tcPr>
            <w:tcW w:type="dxa" w:w="7272"/>
            <w:shd w:fill="F7F9FA"/>
            <w:tcMar>
              <w:top w:w="75" w:type="dxa"/>
              <w:start w:w="85" w:type="dxa"/>
              <w:bottom w:w="75" w:type="dxa"/>
              <w:end w:w="85" w:type="dxa"/>
            </w:tcMar>
            <w:vAlign w:val="top"/>
          </w:tcPr>
          <w:p>
            <w:pPr>
              <w:spacing w:after="0"/>
            </w:pPr>
            <w:r>
              <w:rPr>
                <w:rFonts w:ascii="Arial" w:hAnsi="Arial"/>
                <w:color w:val="24313A"/>
                <w:sz w:val="16"/>
              </w:rPr>
              <w:t>Published releases preserve old model versions so historical reports can be rerun.</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6"/>
              </w:rPr>
              <w:t>Baseline identified</w:t>
            </w:r>
          </w:p>
        </w:tc>
        <w:tc>
          <w:tcPr>
            <w:tcW w:type="dxa" w:w="7272"/>
            <w:shd w:fill="F7F9FA"/>
            <w:tcMar>
              <w:top w:w="75" w:type="dxa"/>
              <w:start w:w="85" w:type="dxa"/>
              <w:bottom w:w="75" w:type="dxa"/>
              <w:end w:w="85" w:type="dxa"/>
            </w:tcMar>
            <w:vAlign w:val="top"/>
          </w:tcPr>
          <w:p>
            <w:pPr>
              <w:spacing w:after="0"/>
            </w:pPr>
            <w:r>
              <w:rPr>
                <w:rFonts w:ascii="Arial" w:hAnsi="Arial"/>
                <w:color w:val="24313A"/>
                <w:sz w:val="16"/>
              </w:rPr>
              <w:t>Every run stores baseline_id, as-of date, legal expiration treatment, data vintage, years, and counterfactual source.</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6"/>
              </w:rPr>
              <w:t>Interaction decomposition</w:t>
            </w:r>
          </w:p>
        </w:tc>
        <w:tc>
          <w:tcPr>
            <w:tcW w:type="dxa" w:w="7272"/>
            <w:shd w:fill="F7F9FA"/>
            <w:tcMar>
              <w:top w:w="75" w:type="dxa"/>
              <w:start w:w="85" w:type="dxa"/>
              <w:bottom w:w="75" w:type="dxa"/>
              <w:end w:w="85" w:type="dxa"/>
            </w:tcMar>
            <w:vAlign w:val="top"/>
          </w:tcPr>
          <w:p>
            <w:pPr>
              <w:spacing w:after="0"/>
            </w:pPr>
            <w:r>
              <w:rPr>
                <w:rFonts w:ascii="Arial" w:hAnsi="Arial"/>
                <w:color w:val="24313A"/>
                <w:sz w:val="16"/>
              </w:rPr>
              <w:t>Standalone, marginal, combined, and non-additive interaction results are separately available when provisions interact.</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6"/>
              </w:rPr>
              <w:t>Recipient and incidence separation</w:t>
            </w:r>
          </w:p>
        </w:tc>
        <w:tc>
          <w:tcPr>
            <w:tcW w:type="dxa" w:w="7272"/>
            <w:shd w:fill="F7F9FA"/>
            <w:tcMar>
              <w:top w:w="75" w:type="dxa"/>
              <w:start w:w="85" w:type="dxa"/>
              <w:bottom w:w="75" w:type="dxa"/>
              <w:end w:w="85" w:type="dxa"/>
            </w:tcMar>
            <w:vAlign w:val="top"/>
          </w:tcPr>
          <w:p>
            <w:pPr>
              <w:spacing w:after="0"/>
            </w:pPr>
            <w:r>
              <w:rPr>
                <w:rFonts w:ascii="Arial" w:hAnsi="Arial"/>
                <w:color w:val="24313A"/>
                <w:sz w:val="16"/>
              </w:rPr>
              <w:t>Statutory/direct recipients are not presented as ultimate economic beneficiaries without a disclosed incidence method.</w:t>
            </w:r>
          </w:p>
        </w:tc>
      </w:tr>
    </w:tbl>
    <w:p>
      <w:pPr>
        <w:pStyle w:val="Heading1"/>
      </w:pPr>
      <w:r>
        <w:t>8. Narrow-benefit and targeted-provision indicators</w:t>
      </w:r>
    </w:p>
    <w:p>
      <w:pPr>
        <w:spacing w:after="120" w:line="259" w:lineRule="auto"/>
      </w:pPr>
      <w:r>
        <w:t>The indicator system is an evidence-triage mechanism. It finds observable features that may represent a legitimate targeted policy, an unintended drafting gap, ordinary transition relief, or a special advantage. Public taxonomies and automated outputs use neutral indicator language and must not collapse those possibilities into an accusation.</w:t>
      </w:r>
    </w:p>
    <w:p>
      <w:pPr>
        <w:pStyle w:val="Heading2"/>
      </w:pPr>
      <w:r>
        <w:t>8.1 Indicator taxonomy</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880"/>
            <w:shd w:fill="17324D"/>
            <w:tcMar>
              <w:top w:w="90" w:type="dxa"/>
              <w:start w:w="90" w:type="dxa"/>
              <w:bottom w:w="90" w:type="dxa"/>
              <w:end w:w="90" w:type="dxa"/>
            </w:tcMar>
            <w:vAlign w:val="center"/>
          </w:tcPr>
          <w:p>
            <w:r>
              <w:t>Indicator</w:t>
            </w:r>
          </w:p>
        </w:tc>
        <w:tc>
          <w:tcPr>
            <w:tcW w:type="dxa" w:w="6624"/>
            <w:shd w:fill="17324D"/>
            <w:tcMar>
              <w:top w:w="90" w:type="dxa"/>
              <w:start w:w="90" w:type="dxa"/>
              <w:bottom w:w="90" w:type="dxa"/>
              <w:end w:w="90" w:type="dxa"/>
            </w:tcMar>
            <w:vAlign w:val="center"/>
          </w:tcPr>
          <w:p>
            <w:pPr>
              <w:jc w:val="left"/>
            </w:pPr>
            <w:r>
              <w:rPr>
                <w:rFonts w:ascii="Arial" w:hAnsi="Arial"/>
                <w:b/>
                <w:color w:val="FFFFFF"/>
                <w:sz w:val="16"/>
              </w:rPr>
              <w:t>Observable characteristic</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Narrow eligibility</w:t>
            </w:r>
          </w:p>
        </w:tc>
        <w:tc>
          <w:tcPr>
            <w:tcW w:type="dxa" w:w="6624"/>
            <w:tcMar>
              <w:top w:w="75" w:type="dxa"/>
              <w:start w:w="85" w:type="dxa"/>
              <w:bottom w:w="75" w:type="dxa"/>
              <w:end w:w="85" w:type="dxa"/>
            </w:tcMar>
            <w:vAlign w:val="top"/>
          </w:tcPr>
          <w:p>
            <w:pPr>
              <w:spacing w:after="0"/>
            </w:pPr>
            <w:r>
              <w:rPr>
                <w:rFonts w:ascii="Arial" w:hAnsi="Arial"/>
                <w:color w:val="24313A"/>
                <w:sz w:val="15"/>
              </w:rPr>
              <w:t>Criteria appear to include a small number of people or entities.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Single-entity pattern</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Combined attributes may describe one identifiable organization or project.</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Industry-specific treatment</w:t>
            </w:r>
          </w:p>
        </w:tc>
        <w:tc>
          <w:tcPr>
            <w:tcW w:type="dxa" w:w="6624"/>
            <w:tcMar>
              <w:top w:w="75" w:type="dxa"/>
              <w:start w:w="85" w:type="dxa"/>
              <w:bottom w:w="75" w:type="dxa"/>
              <w:end w:w="85" w:type="dxa"/>
            </w:tcMar>
            <w:vAlign w:val="top"/>
          </w:tcPr>
          <w:p>
            <w:pPr>
              <w:spacing w:after="0"/>
            </w:pPr>
            <w:r>
              <w:rPr>
                <w:rFonts w:ascii="Arial" w:hAnsi="Arial"/>
                <w:color w:val="24313A"/>
                <w:sz w:val="15"/>
              </w:rPr>
              <w:t>A sector receives a rate, exemption, process, or eligibility rule unavailable elsewhere.</w:t>
            </w:r>
          </w:p>
        </w:tc>
      </w:tr>
      <w:tr>
        <w:trPr>
          <w:cantSplit/>
        </w:trPr>
        <w:tc>
          <w:tcPr>
            <w:tcW w:type="dxa" w:w="2880"/>
            <w:shd w:fill="F7F9FA"/>
            <w:tcMar>
              <w:top w:w="75" w:type="dxa"/>
              <w:start w:w="85" w:type="dxa"/>
              <w:bottom w:w="75" w:type="dxa"/>
              <w:end w:w="85" w:type="dxa"/>
            </w:tcMar>
            <w:vAlign w:val="top"/>
          </w:tcPr>
          <w:p>
            <w:r>
              <w:t>Entity-form advantage</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The rule creates an advantage for choosing a corporation, partnership, pass-through, trust, fund, or contractor form.</w:t>
            </w:r>
          </w:p>
        </w:tc>
      </w:tr>
      <w:tr>
        <w:trPr>
          <w:cantSplit/>
        </w:trPr>
        <w:tc>
          <w:tcPr>
            <w:tcW w:type="dxa" w:w="2880"/>
            <w:tcMar>
              <w:top w:w="75" w:type="dxa"/>
              <w:start w:w="85" w:type="dxa"/>
              <w:bottom w:w="75" w:type="dxa"/>
              <w:end w:w="85" w:type="dxa"/>
            </w:tcMar>
            <w:vAlign w:val="top"/>
          </w:tcPr>
          <w:p>
            <w:r>
              <w:t>Income-character advantage</w:t>
            </w:r>
          </w:p>
        </w:tc>
        <w:tc>
          <w:tcPr>
            <w:tcW w:type="dxa" w:w="6624"/>
            <w:tcMar>
              <w:top w:w="75" w:type="dxa"/>
              <w:start w:w="85" w:type="dxa"/>
              <w:bottom w:w="75" w:type="dxa"/>
              <w:end w:w="85" w:type="dxa"/>
            </w:tcMar>
            <w:vAlign w:val="top"/>
          </w:tcPr>
          <w:p>
            <w:pPr>
              <w:spacing w:after="0"/>
            </w:pPr>
            <w:r>
              <w:rPr>
                <w:rFonts w:ascii="Arial" w:hAnsi="Arial"/>
                <w:color w:val="24313A"/>
                <w:sz w:val="15"/>
              </w:rPr>
              <w:t>The rule may permit ordinary income, compensation, or gains to receive a more favorable category.</w:t>
            </w:r>
          </w:p>
        </w:tc>
      </w:tr>
      <w:tr>
        <w:trPr>
          <w:cantSplit/>
        </w:trPr>
        <w:tc>
          <w:tcPr>
            <w:tcW w:type="dxa" w:w="2880"/>
            <w:shd w:fill="F7F9FA"/>
            <w:tcMar>
              <w:top w:w="75" w:type="dxa"/>
              <w:start w:w="85" w:type="dxa"/>
              <w:bottom w:w="75" w:type="dxa"/>
              <w:end w:w="85" w:type="dxa"/>
            </w:tcMar>
            <w:vAlign w:val="top"/>
          </w:tcPr>
          <w:p>
            <w:r>
              <w:t>Timing advantage</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Taxpayers or entities may shift recognition, deductions, ownership, residence, or transactions across dates.</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Retroactivity</w:t>
            </w:r>
          </w:p>
        </w:tc>
        <w:tc>
          <w:tcPr>
            <w:tcW w:type="dxa" w:w="6624"/>
            <w:tcMar>
              <w:top w:w="75" w:type="dxa"/>
              <w:start w:w="85" w:type="dxa"/>
              <w:bottom w:w="75" w:type="dxa"/>
              <w:end w:w="85" w:type="dxa"/>
            </w:tcMar>
            <w:vAlign w:val="top"/>
          </w:tcPr>
          <w:p>
            <w:pPr>
              <w:spacing w:after="0"/>
            </w:pPr>
            <w:r>
              <w:rPr>
                <w:rFonts w:ascii="Arial" w:hAnsi="Arial"/>
                <w:color w:val="24313A"/>
                <w:sz w:val="15"/>
              </w:rPr>
              <w:t>The provision affects completed actions or prior periods.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Geographic carve-out</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A narrowly defined zone, boundary, facility, disaster, or jurisdiction receives distinct treatment.</w:t>
            </w:r>
          </w:p>
        </w:tc>
      </w:tr>
      <w:tr>
        <w:trPr>
          <w:cantSplit/>
        </w:trPr>
        <w:tc>
          <w:tcPr>
            <w:tcW w:type="dxa" w:w="2880"/>
            <w:tcMar>
              <w:top w:w="75" w:type="dxa"/>
              <w:start w:w="85" w:type="dxa"/>
              <w:bottom w:w="75" w:type="dxa"/>
              <w:end w:w="85" w:type="dxa"/>
            </w:tcMar>
            <w:vAlign w:val="top"/>
          </w:tcPr>
          <w:p>
            <w:r>
              <w:t>Definition-based advantage</w:t>
            </w:r>
          </w:p>
        </w:tc>
        <w:tc>
          <w:tcPr>
            <w:tcW w:type="dxa" w:w="6624"/>
            <w:tcMar>
              <w:top w:w="75" w:type="dxa"/>
              <w:start w:w="85" w:type="dxa"/>
              <w:bottom w:w="75" w:type="dxa"/>
              <w:end w:w="85" w:type="dxa"/>
            </w:tcMar>
            <w:vAlign w:val="top"/>
          </w:tcPr>
          <w:p>
            <w:pPr>
              <w:spacing w:after="0"/>
            </w:pPr>
            <w:r>
              <w:rPr>
                <w:rFonts w:ascii="Arial" w:hAnsi="Arial"/>
                <w:color w:val="24313A"/>
                <w:sz w:val="15"/>
              </w:rPr>
              <w:t>A new or modified definition materially changes who qualifies while appearing technical.</w:t>
            </w:r>
          </w:p>
        </w:tc>
      </w:tr>
      <w:tr>
        <w:trPr>
          <w:cantSplit/>
        </w:trPr>
        <w:tc>
          <w:tcPr>
            <w:tcW w:type="dxa" w:w="2880"/>
            <w:shd w:fill="F7F9FA"/>
            <w:tcMar>
              <w:top w:w="75" w:type="dxa"/>
              <w:start w:w="85" w:type="dxa"/>
              <w:bottom w:w="75" w:type="dxa"/>
              <w:end w:w="85" w:type="dxa"/>
            </w:tcMar>
            <w:vAlign w:val="top"/>
          </w:tcPr>
          <w:p>
            <w:r>
              <w:t>Aggregation-rule advantage</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Ownership or related-party rules may allow splitting or combining entities to qualify.</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Sunset / budget-window effect</w:t>
            </w:r>
          </w:p>
        </w:tc>
        <w:tc>
          <w:tcPr>
            <w:tcW w:type="dxa" w:w="6624"/>
            <w:tcMar>
              <w:top w:w="75" w:type="dxa"/>
              <w:start w:w="85" w:type="dxa"/>
              <w:bottom w:w="75" w:type="dxa"/>
              <w:end w:w="85" w:type="dxa"/>
            </w:tcMar>
            <w:vAlign w:val="top"/>
          </w:tcPr>
          <w:p>
            <w:pPr>
              <w:spacing w:after="0"/>
            </w:pPr>
            <w:r>
              <w:rPr>
                <w:rFonts w:ascii="Arial" w:hAnsi="Arial"/>
                <w:color w:val="24313A"/>
                <w:sz w:val="15"/>
              </w:rPr>
              <w:t>Expiration lowers the official cost despite a plausible expectation of extension.</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Delegated-discretion concentration</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A small group may benefit from broad waiver, selection, certification, or allocation discretion.</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Late insertion</w:t>
            </w:r>
          </w:p>
        </w:tc>
        <w:tc>
          <w:tcPr>
            <w:tcW w:type="dxa" w:w="6624"/>
            <w:tcMar>
              <w:top w:w="75" w:type="dxa"/>
              <w:start w:w="85" w:type="dxa"/>
              <w:bottom w:w="75" w:type="dxa"/>
              <w:end w:w="85" w:type="dxa"/>
            </w:tcMar>
            <w:vAlign w:val="top"/>
          </w:tcPr>
          <w:p>
            <w:pPr>
              <w:spacing w:after="0"/>
            </w:pPr>
            <w:r>
              <w:rPr>
                <w:rFonts w:ascii="Arial" w:hAnsi="Arial"/>
                <w:color w:val="24313A"/>
                <w:sz w:val="15"/>
              </w:rPr>
              <w:t>Language first appears late in the legislative process or without a clearly related public explanation.</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Disclosure opacity</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Public data cannot identify beneficial owners, recipients, or intermediaries well enough to assess concentration.</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Implementation mismatch</w:t>
            </w:r>
          </w:p>
        </w:tc>
        <w:tc>
          <w:tcPr>
            <w:tcW w:type="dxa" w:w="6624"/>
            <w:tcMar>
              <w:top w:w="75" w:type="dxa"/>
              <w:start w:w="85" w:type="dxa"/>
              <w:bottom w:w="75" w:type="dxa"/>
              <w:end w:w="85" w:type="dxa"/>
            </w:tcMar>
            <w:vAlign w:val="top"/>
          </w:tcPr>
          <w:p>
            <w:pPr>
              <w:spacing w:after="0"/>
            </w:pPr>
            <w:r>
              <w:rPr>
                <w:rFonts w:ascii="Arial" w:hAnsi="Arial"/>
                <w:color w:val="24313A"/>
                <w:sz w:val="15"/>
              </w:rPr>
              <w:t>Statutory language and likely operational systems create an unanticipated path to qualify or avoid enforcement.</w:t>
            </w:r>
          </w:p>
        </w:tc>
      </w:tr>
    </w:tbl>
    <w:p>
      <w:pPr>
        <w:pStyle w:val="Heading2"/>
      </w:pPr>
      <w:r>
        <w:t>8.2 Indicator evidence record</w:t>
      </w:r>
    </w:p>
    <w:p>
      <w:pPr>
        <w:pStyle w:val="ListBullet"/>
        <w:spacing w:after="60"/>
        <w:ind w:left="0"/>
      </w:pPr>
      <w:r>
        <w:rPr>
          <w:rFonts w:ascii="Arial" w:hAnsi="Arial"/>
          <w:color w:val="24313A"/>
        </w:rPr>
        <w:t>Exact source spans and affected-law citations.</w:t>
      </w:r>
    </w:p>
    <w:p>
      <w:pPr>
        <w:pStyle w:val="ListBullet"/>
        <w:spacing w:after="60"/>
        <w:ind w:left="0"/>
      </w:pPr>
      <w:r>
        <w:t>The rule or model that generated the indicator.</w:t>
      </w:r>
    </w:p>
    <w:p>
      <w:pPr>
        <w:pStyle w:val="ListBullet"/>
        <w:spacing w:after="60"/>
        <w:ind w:left="0"/>
      </w:pPr>
      <w:r>
        <w:rPr>
          <w:rFonts w:ascii="Arial" w:hAnsi="Arial"/>
          <w:color w:val="24313A"/>
        </w:rPr>
        <w:t>Thresholds and comparison population.</w:t>
      </w:r>
    </w:p>
    <w:p>
      <w:pPr>
        <w:pStyle w:val="ListBullet"/>
        <w:spacing w:after="60"/>
        <w:ind w:left="0"/>
      </w:pPr>
      <w:r>
        <w:rPr>
          <w:rFonts w:ascii="Arial" w:hAnsi="Arial"/>
          <w:color w:val="24313A"/>
        </w:rPr>
        <w:t>Estimated number and identity class of likely beneficiaries, with privacy and evidentiary limits.</w:t>
      </w:r>
    </w:p>
    <w:p>
      <w:pPr>
        <w:pStyle w:val="ListBullet"/>
        <w:spacing w:after="60"/>
        <w:ind w:left="0"/>
      </w:pPr>
      <w:r>
        <w:rPr>
          <w:rFonts w:ascii="Arial" w:hAnsi="Arial"/>
          <w:color w:val="24313A"/>
        </w:rPr>
        <w:t>Known legitimate policy explanations and counterevidence.</w:t>
      </w:r>
    </w:p>
    <w:p>
      <w:pPr>
        <w:pStyle w:val="ListBullet"/>
        <w:spacing w:after="60"/>
        <w:ind w:left="0"/>
      </w:pPr>
      <w:r>
        <w:rPr>
          <w:rFonts w:ascii="Arial" w:hAnsi="Arial"/>
          <w:color w:val="24313A"/>
        </w:rPr>
        <w:t>Analyst status: unreviewed, reviewed, escalated, cleared, confirmed concern, or inconclusive.</w:t>
      </w:r>
    </w:p>
    <w:p>
      <w:pPr>
        <w:pStyle w:val="ListBullet"/>
        <w:spacing w:after="60"/>
        <w:ind w:left="0"/>
      </w:pPr>
      <w:r>
        <w:rPr>
          <w:rFonts w:ascii="Arial" w:hAnsi="Arial"/>
          <w:color w:val="24313A"/>
        </w:rPr>
        <w:t>Confidence, reviewer, date, model version, and correction history.</w:t>
      </w:r>
    </w:p>
    <w:p>
      <w:pPr>
        <w:pStyle w:val="Heading2"/>
      </w:pPr>
      <w:r>
        <w:t>8.3 Reviewed policy-characterization standard</w:t>
      </w:r>
    </w:p>
    <w:p>
      <w:pPr>
        <w:spacing w:after="120" w:line="259" w:lineRule="auto"/>
      </w:pPr>
      <w:r>
        <w:t>Automated systems and public indicator fields may not label a provision a “loophole.” If reviewed explanatory material uses that term, the analyst must document the apparent policy purpose; the operative legal path; how the path appears to avoid or defeat that purpose; who can use it; likely magnitude; whether agencies can address it by rule; comparable treatment; and credible counterarguments. Named-entity or high-profile conclusions require legal and subject-matter review and must preserve uncertainty and right-of-response procedures.</w:t>
      </w:r>
    </w:p>
    <w:tbl>
      <w:tblPr>
        <w:tblW w:type="auto" w:w="0"/>
        <w:jc w:val="center"/>
        <w:tblLayout w:type="fixed"/>
        <w:tblLook w:firstColumn="1" w:firstRow="1" w:lastColumn="0" w:lastRow="0" w:noHBand="0" w:noVBand="1" w:val="04A0"/>
        <w:tblBorders>
          <w:top w:val="single" w:sz="10" w:space="0" w:color="A84040"/>
          <w:left w:val="single" w:sz="10" w:space="0" w:color="A84040"/>
          <w:bottom w:val="single" w:sz="10" w:space="0" w:color="A84040"/>
          <w:right w:val="single" w:sz="10" w:space="0" w:color="A84040"/>
          <w:insideH w:val="single" w:sz="10" w:space="0" w:color="A84040"/>
          <w:insideV w:val="single" w:sz="10" w:space="0" w:color="A84040"/>
        </w:tblBorders>
      </w:tblPr>
      <w:tblGrid>
        <w:gridCol w:w="9504"/>
      </w:tblGrid>
      <w:tr>
        <w:trPr>
          <w:cantSplit/>
          <w:tblHeader w:val="true"/>
        </w:trPr>
        <w:tc>
          <w:tcPr>
            <w:tcW w:type="dxa" w:w="9878"/>
            <w:shd w:fill="FDEEEE"/>
            <w:tcMar>
              <w:top w:w="130" w:type="dxa"/>
              <w:start w:w="170" w:type="dxa"/>
              <w:bottom w:w="130" w:type="dxa"/>
              <w:end w:w="170" w:type="dxa"/>
            </w:tcMar>
          </w:tcPr>
          <w:p>
            <w:pPr>
              <w:spacing w:after="80"/>
            </w:pPr>
            <w:r>
              <w:rPr>
                <w:rFonts w:ascii="Arial" w:hAnsi="Arial"/>
                <w:b/>
                <w:color w:val="A84040"/>
                <w:sz w:val="22"/>
              </w:rPr>
              <w:t>Prohibited shortcut</w:t>
            </w:r>
          </w:p>
          <w:p>
            <w:pPr>
              <w:spacing w:after="0"/>
            </w:pPr>
            <w:r>
              <w:rPr>
                <w:rFonts w:ascii="Arial" w:hAnsi="Arial"/>
                <w:color w:val="24313A"/>
                <w:sz w:val="19"/>
              </w:rPr>
              <w:t>Lobbying, campaign contributions, or a narrow beneficiary pattern may justify scrutiny, but none proves improper influence. The product should display connections without asserting causation unless supported by independent evidence.</w:t>
            </w:r>
          </w:p>
        </w:tc>
      </w:tr>
    </w:tbl>
    <w:p>
      <w:bookmarkStart w:id="90" w:name="ai"/>
      <w:pPr>
        <w:pStyle w:val="Heading1"/>
      </w:pPr>
      <w:r>
        <w:t>9. AI role and guardrails</w:t>
      </w:r>
      <w:bookmarkEnd w:id="90"/>
    </w:p>
    <w:p>
      <w:pPr>
        <w:pStyle w:val="Heading2"/>
      </w:pPr>
      <w:r>
        <w:t>9.1 Appropriate AI uses</w:t>
      </w:r>
    </w:p>
    <w:p>
      <w:pPr>
        <w:pStyle w:val="ListBullet"/>
        <w:spacing w:after="60"/>
        <w:ind w:left="0"/>
      </w:pPr>
      <w:r>
        <w:rPr>
          <w:rFonts w:ascii="Arial" w:hAnsi="Arial"/>
          <w:color w:val="24313A"/>
        </w:rPr>
        <w:t>Classify and segment legislative text.</w:t>
      </w:r>
    </w:p>
    <w:p>
      <w:pPr>
        <w:pStyle w:val="ListBullet"/>
        <w:spacing w:after="60"/>
        <w:ind w:left="0"/>
      </w:pPr>
      <w:r>
        <w:rPr>
          <w:rFonts w:ascii="Arial" w:hAnsi="Arial"/>
          <w:color w:val="24313A"/>
        </w:rPr>
        <w:t>Match sections across versions despite renumbering or moved language.</w:t>
      </w:r>
    </w:p>
    <w:p>
      <w:pPr>
        <w:pStyle w:val="ListBullet"/>
        <w:spacing w:after="60"/>
        <w:ind w:left="0"/>
      </w:pPr>
      <w:r>
        <w:t>Extract candidate provision fields, affected citations, and proposed amendment-operation structures.</w:t>
      </w:r>
    </w:p>
    <w:p>
      <w:pPr>
        <w:pStyle w:val="ListBullet"/>
        <w:spacing w:after="60"/>
        <w:ind w:left="0"/>
      </w:pPr>
      <w:r>
        <w:rPr>
          <w:rFonts w:ascii="Arial" w:hAnsi="Arial"/>
          <w:color w:val="24313A"/>
        </w:rPr>
        <w:t>Generate plain-language drafts from structured evidence.</w:t>
      </w:r>
    </w:p>
    <w:p>
      <w:pPr>
        <w:pStyle w:val="ListBullet"/>
        <w:spacing w:after="60"/>
        <w:ind w:left="0"/>
      </w:pPr>
      <w:r>
        <w:rPr>
          <w:rFonts w:ascii="Arial" w:hAnsi="Arial"/>
          <w:color w:val="24313A"/>
        </w:rPr>
        <w:t>Suggest related programs, datasets, regulations, and prior provisions.</w:t>
      </w:r>
    </w:p>
    <w:p>
      <w:pPr>
        <w:pStyle w:val="ListBullet"/>
        <w:spacing w:after="60"/>
        <w:ind w:left="0"/>
      </w:pPr>
      <w:r>
        <w:rPr>
          <w:rFonts w:ascii="Arial" w:hAnsi="Arial"/>
          <w:color w:val="24313A"/>
        </w:rPr>
        <w:t>Detect anomalous combinations, rare definitions, and potential beneficiary patterns.</w:t>
      </w:r>
    </w:p>
    <w:p>
      <w:pPr>
        <w:pStyle w:val="ListBullet"/>
        <w:spacing w:after="60"/>
        <w:ind w:left="0"/>
      </w:pPr>
      <w:r>
        <w:rPr>
          <w:rFonts w:ascii="Arial" w:hAnsi="Arial"/>
          <w:color w:val="24313A"/>
        </w:rPr>
        <w:t>Assist search, question answering, and analyst workflow.</w:t>
      </w:r>
    </w:p>
    <w:p>
      <w:pPr>
        <w:pStyle w:val="Heading2"/>
      </w:pPr>
      <w:r>
        <w:t>9.2 Uses requiring deterministic or validated methods</w:t>
      </w:r>
    </w:p>
    <w:p>
      <w:pPr>
        <w:pStyle w:val="ListBullet"/>
        <w:spacing w:after="60"/>
        <w:ind w:left="0"/>
      </w:pPr>
      <w:r>
        <w:rPr>
          <w:rFonts w:ascii="Arial" w:hAnsi="Arial"/>
          <w:color w:val="24313A"/>
        </w:rPr>
        <w:t>Tax, benefit, eligibility, and financial calculations.</w:t>
      </w:r>
    </w:p>
    <w:p>
      <w:pPr>
        <w:pStyle w:val="ListBullet"/>
        <w:spacing w:after="60"/>
        <w:ind w:left="0"/>
      </w:pPr>
      <w:r>
        <w:rPr>
          <w:rFonts w:ascii="Arial" w:hAnsi="Arial"/>
          <w:color w:val="24313A"/>
        </w:rPr>
        <w:t>Final source identity, legal citations, dates, and bill status.</w:t>
      </w:r>
    </w:p>
    <w:p>
      <w:pPr>
        <w:pStyle w:val="ListBullet"/>
      </w:pPr>
      <w:r>
        <w:t>Authoritative reconstruction of amended statutory text and supported amendment operations.</w:t>
      </w:r>
    </w:p>
    <w:p>
      <w:pPr>
        <w:pStyle w:val="ListBullet"/>
        <w:spacing w:after="60"/>
        <w:ind w:left="0"/>
      </w:pPr>
      <w:r>
        <w:rPr>
          <w:rFonts w:ascii="Arial" w:hAnsi="Arial"/>
          <w:color w:val="24313A"/>
        </w:rPr>
        <w:t>Published aggregate distributions and reconciliations.</w:t>
      </w:r>
    </w:p>
    <w:p>
      <w:pPr>
        <w:pStyle w:val="ListBullet"/>
        <w:spacing w:after="60"/>
        <w:ind w:left="0"/>
      </w:pPr>
      <w:r>
        <w:rPr>
          <w:rFonts w:ascii="Arial" w:hAnsi="Arial"/>
          <w:color w:val="24313A"/>
        </w:rPr>
        <w:t>Flag thresholds and scoring logic once adopted.</w:t>
      </w:r>
    </w:p>
    <w:p>
      <w:pPr>
        <w:pStyle w:val="ListBullet"/>
        <w:spacing w:after="60"/>
        <w:ind w:left="0"/>
      </w:pPr>
      <w:r>
        <w:rPr>
          <w:rFonts w:ascii="Arial" w:hAnsi="Arial"/>
          <w:color w:val="24313A"/>
        </w:rPr>
        <w:t>Access control, audit logging, and release approvals.</w:t>
      </w:r>
    </w:p>
    <w:p>
      <w:pPr>
        <w:pStyle w:val="Heading2"/>
      </w:pPr>
      <w:r>
        <w:t>9.3 Mandatory AI controls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088"/>
            <w:shd w:fill="17324D"/>
            <w:tcMar>
              <w:top w:w="90" w:type="dxa"/>
              <w:start w:w="90" w:type="dxa"/>
              <w:bottom w:w="90" w:type="dxa"/>
              <w:end w:w="90" w:type="dxa"/>
            </w:tcMar>
            <w:vAlign w:val="center"/>
          </w:tcPr>
          <w:p>
            <w:pPr>
              <w:jc w:val="left"/>
            </w:pPr>
            <w:r>
              <w:rPr>
                <w:rFonts w:ascii="Arial" w:hAnsi="Arial"/>
                <w:b/>
                <w:color w:val="FFFFFF"/>
                <w:sz w:val="16"/>
              </w:rPr>
              <w:t>Control</w:t>
            </w:r>
          </w:p>
        </w:tc>
        <w:tc>
          <w:tcPr>
            <w:tcW w:type="dxa" w:w="7416"/>
            <w:shd w:fill="17324D"/>
            <w:tcMar>
              <w:top w:w="90" w:type="dxa"/>
              <w:start w:w="90" w:type="dxa"/>
              <w:bottom w:w="90" w:type="dxa"/>
              <w:end w:w="90" w:type="dxa"/>
            </w:tcMar>
            <w:vAlign w:val="center"/>
          </w:tcPr>
          <w:p>
            <w:pPr>
              <w:jc w:val="left"/>
            </w:pPr>
            <w:r>
              <w:rPr>
                <w:rFonts w:ascii="Arial" w:hAnsi="Arial"/>
                <w:b/>
                <w:color w:val="FFFFFF"/>
                <w:sz w:val="16"/>
              </w:rPr>
              <w:t>Requirement</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Grounding</w:t>
            </w:r>
          </w:p>
        </w:tc>
        <w:tc>
          <w:tcPr>
            <w:tcW w:type="dxa" w:w="7416"/>
            <w:tcMar>
              <w:top w:w="75" w:type="dxa"/>
              <w:start w:w="85" w:type="dxa"/>
              <w:bottom w:w="75" w:type="dxa"/>
              <w:end w:w="85" w:type="dxa"/>
            </w:tcMar>
            <w:vAlign w:val="top"/>
          </w:tcPr>
          <w:p>
            <w:pPr>
              <w:spacing w:after="0"/>
            </w:pPr>
            <w:r>
              <w:rPr>
                <w:rFonts w:ascii="Arial" w:hAnsi="Arial"/>
                <w:color w:val="24313A"/>
                <w:sz w:val="15"/>
              </w:rPr>
              <w:t>AI output must cite retrieved source spans or structured records; unsupported prose cannot enter a public report.</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5"/>
              </w:rPr>
              <w:t>Structured output</w:t>
            </w:r>
          </w:p>
        </w:tc>
        <w:tc>
          <w:tcPr>
            <w:tcW w:type="dxa" w:w="7416"/>
            <w:shd w:fill="F7F9FA"/>
            <w:tcMar>
              <w:top w:w="75" w:type="dxa"/>
              <w:start w:w="85" w:type="dxa"/>
              <w:bottom w:w="75" w:type="dxa"/>
              <w:end w:w="85" w:type="dxa"/>
            </w:tcMar>
            <w:vAlign w:val="top"/>
          </w:tcPr>
          <w:p>
            <w:pPr>
              <w:spacing w:after="0"/>
            </w:pPr>
            <w:r>
              <w:rPr>
                <w:rFonts w:ascii="Arial" w:hAnsi="Arial"/>
                <w:color w:val="24313A"/>
                <w:sz w:val="15"/>
              </w:rPr>
              <w:t>Extraction uses schemas with validation, allowed values, and explicit unknown states.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No silent overwrite</w:t>
            </w:r>
          </w:p>
        </w:tc>
        <w:tc>
          <w:tcPr>
            <w:tcW w:type="dxa" w:w="7416"/>
            <w:tcMar>
              <w:top w:w="75" w:type="dxa"/>
              <w:start w:w="85" w:type="dxa"/>
              <w:bottom w:w="75" w:type="dxa"/>
              <w:end w:w="85" w:type="dxa"/>
            </w:tcMar>
            <w:vAlign w:val="top"/>
          </w:tcPr>
          <w:p>
            <w:pPr>
              <w:spacing w:after="0"/>
            </w:pPr>
            <w:r>
              <w:rPr>
                <w:rFonts w:ascii="Arial" w:hAnsi="Arial"/>
                <w:color w:val="24313A"/>
                <w:sz w:val="15"/>
              </w:rPr>
              <w:t>Human edits and source corrections are versioned; regenerated AI text cannot erase them.</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5"/>
              </w:rPr>
              <w:t>Evaluation sets</w:t>
            </w:r>
          </w:p>
        </w:tc>
        <w:tc>
          <w:tcPr>
            <w:tcW w:type="dxa" w:w="7416"/>
            <w:shd w:fill="F7F9FA"/>
            <w:tcMar>
              <w:top w:w="75" w:type="dxa"/>
              <w:start w:w="85" w:type="dxa"/>
              <w:bottom w:w="75" w:type="dxa"/>
              <w:end w:w="85" w:type="dxa"/>
            </w:tcMar>
            <w:vAlign w:val="top"/>
          </w:tcPr>
          <w:p>
            <w:pPr>
              <w:spacing w:after="0"/>
            </w:pPr>
            <w:r>
              <w:rPr>
                <w:rFonts w:ascii="Arial" w:hAnsi="Arial"/>
                <w:color w:val="24313A"/>
                <w:sz w:val="15"/>
              </w:rPr>
              <w:t>Maintain representative and adversarial test sets covering tax language, cross-references, definitions, exceptions, tables, and late amendments.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Confidence calibration</w:t>
            </w:r>
          </w:p>
        </w:tc>
        <w:tc>
          <w:tcPr>
            <w:tcW w:type="dxa" w:w="7416"/>
            <w:tcMar>
              <w:top w:w="75" w:type="dxa"/>
              <w:start w:w="85" w:type="dxa"/>
              <w:bottom w:w="75" w:type="dxa"/>
              <w:end w:w="85" w:type="dxa"/>
            </w:tcMar>
            <w:vAlign w:val="top"/>
          </w:tcPr>
          <w:p>
            <w:pPr>
              <w:spacing w:after="0"/>
            </w:pPr>
            <w:r>
              <w:rPr>
                <w:rFonts w:ascii="Arial" w:hAnsi="Arial"/>
                <w:color w:val="24313A"/>
                <w:sz w:val="15"/>
              </w:rPr>
              <w:t>Model confidence is measured against reviewed samples; a numeric confidence is not displayed unless calibrated.</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5"/>
              </w:rPr>
              <w:t>Human escalation</w:t>
            </w:r>
          </w:p>
        </w:tc>
        <w:tc>
          <w:tcPr>
            <w:tcW w:type="dxa" w:w="7416"/>
            <w:shd w:fill="F7F9FA"/>
            <w:tcMar>
              <w:top w:w="75" w:type="dxa"/>
              <w:start w:w="85" w:type="dxa"/>
              <w:bottom w:w="75" w:type="dxa"/>
              <w:end w:w="85" w:type="dxa"/>
            </w:tcMar>
            <w:vAlign w:val="top"/>
          </w:tcPr>
          <w:p>
            <w:pPr>
              <w:spacing w:after="0"/>
            </w:pPr>
            <w:r>
              <w:rPr>
                <w:rFonts w:ascii="Arial" w:hAnsi="Arial"/>
                <w:color w:val="24313A"/>
                <w:sz w:val="15"/>
              </w:rPr>
              <w:t>Novel, high-impact, low-confidence, sensitive, or potentially defamatory findings require review.</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Model independence</w:t>
            </w:r>
          </w:p>
        </w:tc>
        <w:tc>
          <w:tcPr>
            <w:tcW w:type="dxa" w:w="7416"/>
            <w:tcMar>
              <w:top w:w="75" w:type="dxa"/>
              <w:start w:w="85" w:type="dxa"/>
              <w:bottom w:w="75" w:type="dxa"/>
              <w:end w:w="85" w:type="dxa"/>
            </w:tcMar>
            <w:vAlign w:val="top"/>
          </w:tcPr>
          <w:p>
            <w:r>
              <w:t>Published calculations and authoritative statutory transformations do not depend on an LLM’s hidden reasoning or unvalidated generated text.</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5"/>
              </w:rPr>
              <w:t>Vendor portability</w:t>
            </w:r>
          </w:p>
        </w:tc>
        <w:tc>
          <w:tcPr>
            <w:tcW w:type="dxa" w:w="7416"/>
            <w:shd w:fill="F7F9FA"/>
            <w:tcMar>
              <w:top w:w="75" w:type="dxa"/>
              <w:start w:w="85" w:type="dxa"/>
              <w:bottom w:w="75" w:type="dxa"/>
              <w:end w:w="85" w:type="dxa"/>
            </w:tcMar>
            <w:vAlign w:val="top"/>
          </w:tcPr>
          <w:p>
            <w:pPr>
              <w:spacing w:after="0"/>
            </w:pPr>
            <w:r>
              <w:rPr>
                <w:rFonts w:ascii="Arial" w:hAnsi="Arial"/>
                <w:color w:val="24313A"/>
                <w:sz w:val="15"/>
              </w:rPr>
              <w:t>Store prompts, schemas, evaluations, and outputs so models can be replaced without redesigning the product.</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Risk governance</w:t>
            </w:r>
          </w:p>
        </w:tc>
        <w:tc>
          <w:tcPr>
            <w:tcW w:type="dxa" w:w="7416"/>
            <w:tcMar>
              <w:top w:w="75" w:type="dxa"/>
              <w:start w:w="85" w:type="dxa"/>
              <w:bottom w:w="75" w:type="dxa"/>
              <w:end w:w="85" w:type="dxa"/>
            </w:tcMar>
            <w:vAlign w:val="top"/>
          </w:tcPr>
          <w:p>
            <w:pPr>
              <w:spacing w:after="0"/>
            </w:pPr>
            <w:r>
              <w:rPr>
                <w:rFonts w:ascii="Arial" w:hAnsi="Arial"/>
                <w:color w:val="24313A"/>
                <w:sz w:val="15"/>
              </w:rPr>
              <w:t>Use a documented AI risk process aligned with recognized practices such as NIST AI RMF [S15].</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Decision provenance</w:t>
            </w:r>
          </w:p>
        </w:tc>
        <w:tc>
          <w:tcPr>
            <w:tcW w:type="dxa" w:w="7416"/>
            <w:tcMar>
              <w:top w:w="75" w:type="dxa"/>
              <w:start w:w="85" w:type="dxa"/>
              <w:bottom w:w="75" w:type="dxa"/>
              <w:end w:w="85" w:type="dxa"/>
            </w:tcMar>
            <w:vAlign w:val="top"/>
          </w:tcPr>
          <w:p>
            <w:r>
              <w:t>Every material AI action writes a tamper-evident decision-history record before its output can enter a publication pipeline; raw inputs and prompts follow explicit retention and disclosure classes.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Risk-based escalation</w:t>
            </w:r>
          </w:p>
        </w:tc>
        <w:tc>
          <w:tcPr>
            <w:tcW w:type="dxa" w:w="7416"/>
            <w:tcMar>
              <w:top w:w="75" w:type="dxa"/>
              <w:start w:w="85" w:type="dxa"/>
              <w:bottom w:w="75" w:type="dxa"/>
              <w:end w:w="85" w:type="dxa"/>
            </w:tcMar>
            <w:vAlign w:val="top"/>
          </w:tcPr>
          <w:p>
            <w:pPr>
              <w:spacing w:after="0"/>
            </w:pPr>
            <w:r>
              <w:rPr>
                <w:rFonts w:ascii="Arial" w:hAnsi="Arial"/>
                <w:color w:val="24313A"/>
                <w:sz w:val="15"/>
              </w:rPr>
              <w:t>Impact, novelty, uncertainty, model disagreement, reputational sensitivity, named-entity implication, and accusatory language determine review requirements.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Random sampling</w:t>
            </w:r>
          </w:p>
        </w:tc>
        <w:tc>
          <w:tcPr>
            <w:tcW w:type="dxa" w:w="7416"/>
            <w:tcMar>
              <w:top w:w="75" w:type="dxa"/>
              <w:start w:w="85" w:type="dxa"/>
              <w:bottom w:w="75" w:type="dxa"/>
              <w:end w:w="85" w:type="dxa"/>
            </w:tcMar>
            <w:vAlign w:val="top"/>
          </w:tcPr>
          <w:p>
            <w:pPr>
              <w:spacing w:after="0"/>
            </w:pPr>
            <w:r>
              <w:rPr>
                <w:rFonts w:ascii="Arial" w:hAnsi="Arial"/>
                <w:color w:val="24313A"/>
                <w:sz w:val="15"/>
              </w:rPr>
              <w:t>A sample of apparently successful outputs receives review to detect confident failures that the AI did not escalate.</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5"/>
              </w:rPr>
              <w:t>Perspective invariance</w:t>
            </w:r>
          </w:p>
        </w:tc>
        <w:tc>
          <w:tcPr>
            <w:tcW w:type="dxa" w:w="7416"/>
            <w:tcMar>
              <w:top w:w="75" w:type="dxa"/>
              <w:start w:w="85" w:type="dxa"/>
              <w:bottom w:w="75" w:type="dxa"/>
              <w:end w:w="85" w:type="dxa"/>
            </w:tcMar>
            <w:vAlign w:val="top"/>
          </w:tcPr>
          <w:p>
            <w:r>
              <w:t>Perspective profiles may change value priorities, interpretive emphasis, question ordering, and display horizons—but never source facts, exact text changes, deterministic outputs, canonical or alternative model-scenario parameters, or material counterevidence.</w:t>
            </w:r>
          </w:p>
        </w:tc>
      </w:tr>
      <w:tr>
        <w:tc>
          <w:tcPr>
            <w:tcW w:type="dxa" w:w="4939"/>
          </w:tcPr>
          <w:p>
            <w:r>
              <w:t>Deterministic statutory transformation</w:t>
            </w:r>
          </w:p>
        </w:tc>
        <w:tc>
          <w:tcPr>
            <w:tcW w:type="dxa" w:w="4939"/>
          </w:tcPr>
          <w:p>
            <w:r>
              <w:t>Supported amendment operations are parsed and applied by deterministic code against canonical structured text; transformed results retain source and operation traces.</w:t>
            </w:r>
          </w:p>
        </w:tc>
      </w:tr>
      <w:tr>
        <w:tc>
          <w:tcPr>
            <w:tcW w:type="dxa" w:w="4939"/>
          </w:tcPr>
          <w:p>
            <w:r>
              <w:t>LLM proposal boundary</w:t>
            </w:r>
          </w:p>
        </w:tc>
        <w:tc>
          <w:tcPr>
            <w:tcW w:type="dxa" w:w="4939"/>
          </w:tcPr>
          <w:p>
            <w:r>
              <w:t>An LLM may propose amendment operations, affected citations, and semantic matches only through a constrained schema. It cannot establish authoritative transformed law.</w:t>
            </w:r>
          </w:p>
        </w:tc>
      </w:tr>
      <w:tr>
        <w:tc>
          <w:tcPr>
            <w:tcW w:type="dxa" w:w="4939"/>
          </w:tcPr>
          <w:p>
            <w:r>
              <w:t>Abstention and round-trip validation</w:t>
            </w:r>
          </w:p>
        </w:tc>
        <w:tc>
          <w:tcPr>
            <w:tcW w:type="dxa" w:w="4939"/>
          </w:tcPr>
          <w:p>
            <w:r>
              <w:t>Unsupported or ambiguous operations are marked unresolved and escalated. Where authoritative post-enactment text exists, reconstructed text must reconcile through round-trip validation.</w:t>
            </w:r>
          </w:p>
        </w:tc>
      </w:tr>
      <w:tr>
        <w:tc>
          <w:tcPr>
            <w:tcW w:type="dxa" w:w="4939"/>
          </w:tcPr>
          <w:p>
            <w:r>
              <w:t>Correlated-agent failure</w:t>
            </w:r>
          </w:p>
        </w:tc>
        <w:tc>
          <w:tcPr>
            <w:tcW w:type="dxa" w:w="4939"/>
          </w:tcPr>
          <w:p>
            <w:r>
              <w:t>Agent agreement is not treated as independent proof. Evaluation records model family, provider, retrieval source, prompt, and validator diversity and tests shared failure modes.</w:t>
            </w:r>
          </w:p>
        </w:tc>
      </w:tr>
    </w:tbl>
    <w:p>
      <w:pPr>
        <w:pStyle w:val="Heading2"/>
      </w:pPr>
      <w:r>
        <w:t>9.4 AI-generated code policy</w:t>
      </w:r>
    </w:p>
    <w:p>
      <w:pPr>
        <w:spacing w:after="120" w:line="259" w:lineRule="auto"/>
      </w:pPr>
      <w:r>
        <w:rPr>
          <w:rFonts w:ascii="Arial" w:hAnsi="Arial"/>
          <w:color w:val="24313A"/>
          <w:sz w:val="19"/>
        </w:rPr>
        <w:t>AI may generate some or all implementation code, but authorship does not reduce engineering accountability. Every enhancement or modification should satisfy the following release gate:</w:t>
      </w:r>
    </w:p>
    <w:p>
      <w:pPr>
        <w:spacing w:after="40"/>
        <w:ind w:left="403" w:hanging="259"/>
      </w:pPr>
      <w:r>
        <w:t>1. Test cases cover the new or changed behavior.</w:t>
      </w:r>
    </w:p>
    <w:p>
      <w:pPr>
        <w:spacing w:after="40"/>
        <w:ind w:left="403" w:hanging="259"/>
      </w:pPr>
      <w:r>
        <w:t>2. Regression evidence proves previously validated calculations did not change unexpectedly; intended changes are documented and reconciled.</w:t>
      </w:r>
    </w:p>
    <w:p>
      <w:pPr>
        <w:spacing w:after="40"/>
        <w:ind w:left="403" w:hanging="259"/>
      </w:pPr>
      <w:r>
        <w:t>3. All affected public support content is updated, including methodology, help, tooltips, jargon definitions, search content, and training materials.</w:t>
      </w:r>
    </w:p>
    <w:p>
      <w:pPr>
        <w:spacing w:after="40"/>
        <w:ind w:left="403" w:hanging="259"/>
      </w:pPr>
      <w:r>
        <w:t>4. Feature catalog, model cards, source catalog, data dictionary, and change log are updated as applicable.</w:t>
      </w:r>
    </w:p>
    <w:p>
      <w:pPr>
        <w:spacing w:after="40"/>
        <w:ind w:left="403" w:hanging="259"/>
      </w:pPr>
      <w:r>
        <w:t>5. Official or authoritative sources are recorded for policy rules and data assumptions.</w:t>
      </w:r>
    </w:p>
    <w:p>
      <w:pPr>
        <w:spacing w:after="40"/>
        <w:ind w:left="403" w:hanging="259"/>
      </w:pPr>
      <w:r>
        <w:t>6. Security, accessibility, and privacy impacts are reviewed when relevant.</w:t>
      </w:r>
    </w:p>
    <w:p>
      <w:pPr>
        <w:pStyle w:val="Heading2"/>
      </w:pPr>
      <w:r>
        <w:t>9.5 Automation principle</w:t>
      </w:r>
    </w:p>
    <w:p>
      <w:r>
        <w:t>The POC should not require prior human approval for routine work. Its operating principle is: automate production, preserve inspection, and escalate by risk. Automated outputs may be published provisionally when source, schema, citation, calculation, and policy controls pass.</w:t>
      </w:r>
    </w:p>
    <w:p>
      <w:pPr>
        <w:jc w:val="center"/>
      </w:pPr>
      <w:r>
        <w:drawing>
          <wp:inline xmlns:a="http://schemas.openxmlformats.org/drawingml/2006/main" xmlns:pic="http://schemas.openxmlformats.org/drawingml/2006/picture">
            <wp:extent cx="6172200" cy="2735407"/>
            <wp:docPr id="4" name="Picture 4" title="Automated assurance and publication flow" descr="Source extraction and deterministic checks feed independent challenge agents and risk scoring, producing either low-risk provisional publication or triggered human review, with all decisions recorded in the AI Decision Ledger."/>
            <wp:cNvGraphicFramePr>
              <a:graphicFrameLocks noChangeAspect="1"/>
            </wp:cNvGraphicFramePr>
            <a:graphic>
              <a:graphicData uri="http://schemas.openxmlformats.org/drawingml/2006/picture">
                <pic:pic>
                  <pic:nvPicPr>
                    <pic:cNvPr id="0" name="assurance_flow.png"/>
                    <pic:cNvPicPr/>
                  </pic:nvPicPr>
                  <pic:blipFill>
                    <a:blip r:embed="rId33"/>
                    <a:stretch>
                      <a:fillRect/>
                    </a:stretch>
                  </pic:blipFill>
                  <pic:spPr>
                    <a:xfrm>
                      <a:off x="0" y="0"/>
                      <a:ext cx="6172200" cy="2735407"/>
                    </a:xfrm>
                    <a:prstGeom prst="rect"/>
                  </pic:spPr>
                </pic:pic>
              </a:graphicData>
            </a:graphic>
          </wp:inline>
        </w:drawing>
      </w:r>
    </w:p>
    <w:p>
      <w:pPr>
        <w:pStyle w:val="Heading2"/>
      </w:pPr>
      <w:r>
        <w:t>9.6 Risk tiers and review triggers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3293"/>
        <w:gridCol w:w="3293"/>
        <w:gridCol w:w="3293"/>
      </w:tblGrid>
      <w:tr>
        <w:trPr>
          <w:tblHeader w:val="true"/>
          <w:cantSplit/>
        </w:trPr>
        <w:tc>
          <w:tcPr>
            <w:tcW w:type="dxa" w:w="1800"/>
            <w:vAlign w:val="top"/>
            <w:shd w:fill="17324D"/>
            <w:tcMar>
              <w:top w:w="90" w:type="dxa"/>
              <w:start w:w="90" w:type="dxa"/>
              <w:bottom w:w="90" w:type="dxa"/>
              <w:end w:w="90" w:type="dxa"/>
            </w:tcMar>
          </w:tcPr>
          <w:p>
            <w:pPr>
              <w:spacing w:after="0"/>
              <w:jc w:val="left"/>
            </w:pPr>
            <w:r/>
            <w:r>
              <w:rPr>
                <w:rFonts w:ascii="Arial" w:hAnsi="Arial"/>
                <w:b/>
                <w:color w:val="FFFFFF"/>
                <w:sz w:val="16"/>
              </w:rPr>
              <w:t>Tier</w:t>
            </w:r>
          </w:p>
        </w:tc>
        <w:tc>
          <w:tcPr>
            <w:tcW w:type="dxa" w:w="4824"/>
            <w:vAlign w:val="top"/>
            <w:shd w:fill="17324D"/>
            <w:tcMar>
              <w:top w:w="90" w:type="dxa"/>
              <w:start w:w="90" w:type="dxa"/>
              <w:bottom w:w="90" w:type="dxa"/>
              <w:end w:w="90" w:type="dxa"/>
            </w:tcMar>
          </w:tcPr>
          <w:p>
            <w:r>
              <w:t>Typical work</w:t>
            </w:r>
          </w:p>
        </w:tc>
        <w:tc>
          <w:tcPr>
            <w:tcW w:type="dxa" w:w="3384"/>
            <w:vAlign w:val="top"/>
            <w:shd w:fill="17324D"/>
            <w:tcMar>
              <w:top w:w="90" w:type="dxa"/>
              <w:start w:w="90" w:type="dxa"/>
              <w:bottom w:w="90" w:type="dxa"/>
              <w:end w:w="90" w:type="dxa"/>
            </w:tcMar>
          </w:tcPr>
          <w:p>
            <w:pPr>
              <w:spacing w:after="0"/>
              <w:jc w:val="left"/>
            </w:pPr>
            <w:r/>
            <w:r>
              <w:rPr>
                <w:rFonts w:ascii="Arial" w:hAnsi="Arial"/>
                <w:b/>
                <w:color w:val="FFFFFF"/>
                <w:sz w:val="16"/>
              </w:rPr>
              <w:t>POC treatment</w:t>
            </w:r>
          </w:p>
        </w:tc>
      </w:tr>
      <w:tr>
        <w:trPr>
          <w:cantSplit/>
        </w:trPr>
        <w:tc>
          <w:tcPr>
            <w:tcW w:type="dxa" w:w="1800"/>
            <w:vAlign w:val="top"/>
            <w:tcMar>
              <w:top w:w="75" w:type="dxa"/>
              <w:start w:w="85" w:type="dxa"/>
              <w:bottom w:w="75" w:type="dxa"/>
              <w:end w:w="85" w:type="dxa"/>
            </w:tcMar>
          </w:tcPr>
          <w:p>
            <w:pPr>
              <w:spacing w:after="0"/>
              <w:jc w:val="left"/>
            </w:pPr>
            <w:r/>
            <w:r>
              <w:rPr>
                <w:rFonts w:ascii="Arial" w:hAnsi="Arial"/>
                <w:b w:val="0"/>
                <w:color w:val="24313A"/>
                <w:sz w:val="16"/>
              </w:rPr>
              <w:t>0 — Deterministic</w:t>
            </w:r>
          </w:p>
        </w:tc>
        <w:tc>
          <w:tcPr>
            <w:tcW w:type="dxa" w:w="4824"/>
            <w:vAlign w:val="top"/>
            <w:tcMar>
              <w:top w:w="75" w:type="dxa"/>
              <w:start w:w="85" w:type="dxa"/>
              <w:bottom w:w="75" w:type="dxa"/>
              <w:end w:w="85" w:type="dxa"/>
            </w:tcMar>
          </w:tcPr>
          <w:p>
            <w:r>
              <w:t>Retrieval, hashing, exact text diff, arithmetic, schema and invariant checks.</w:t>
            </w:r>
          </w:p>
        </w:tc>
        <w:tc>
          <w:tcPr>
            <w:tcW w:type="dxa" w:w="3384"/>
            <w:vAlign w:val="top"/>
            <w:tcMar>
              <w:top w:w="75" w:type="dxa"/>
              <w:start w:w="85" w:type="dxa"/>
              <w:bottom w:w="75" w:type="dxa"/>
              <w:end w:w="85" w:type="dxa"/>
            </w:tcMar>
          </w:tcPr>
          <w:p>
            <w:pPr>
              <w:spacing w:after="0"/>
              <w:jc w:val="left"/>
            </w:pPr>
            <w:r/>
            <w:r>
              <w:rPr>
                <w:rFonts w:ascii="Arial" w:hAnsi="Arial"/>
                <w:b w:val="0"/>
                <w:color w:val="24313A"/>
                <w:sz w:val="16"/>
              </w:rPr>
              <w:t>Fully automated.</w:t>
            </w:r>
          </w:p>
        </w:tc>
      </w:tr>
      <w:tr>
        <w:trPr>
          <w:cantSplit/>
        </w:trPr>
        <w:tc>
          <w:tcPr>
            <w:tcW w:type="dxa" w:w="1800"/>
            <w:vAlign w:val="top"/>
            <w:tcMar>
              <w:top w:w="75" w:type="dxa"/>
              <w:start w:w="85" w:type="dxa"/>
              <w:bottom w:w="75" w:type="dxa"/>
              <w:end w:w="85" w:type="dxa"/>
            </w:tcMar>
            <w:shd w:fill="F7F9FA"/>
          </w:tcPr>
          <w:p>
            <w:pPr>
              <w:spacing w:after="0"/>
              <w:jc w:val="left"/>
            </w:pPr>
            <w:r/>
            <w:r>
              <w:rPr>
                <w:rFonts w:ascii="Arial" w:hAnsi="Arial"/>
                <w:b w:val="0"/>
                <w:color w:val="24313A"/>
                <w:sz w:val="16"/>
              </w:rPr>
              <w:t>1 — Constrained extraction</w:t>
            </w:r>
          </w:p>
        </w:tc>
        <w:tc>
          <w:tcPr>
            <w:tcW w:type="dxa" w:w="4824"/>
            <w:vAlign w:val="top"/>
            <w:tcMar>
              <w:top w:w="75" w:type="dxa"/>
              <w:start w:w="85" w:type="dxa"/>
              <w:bottom w:w="75" w:type="dxa"/>
              <w:end w:w="85" w:type="dxa"/>
            </w:tcMar>
            <w:shd w:fill="F7F9FA"/>
          </w:tcPr>
          <w:p>
            <w:r>
              <w:t>Dates, amounts, agencies, code sections, eligibility language, effective periods.</w:t>
            </w:r>
          </w:p>
        </w:tc>
        <w:tc>
          <w:tcPr>
            <w:tcW w:type="dxa" w:w="3384"/>
            <w:vAlign w:val="top"/>
            <w:tcMar>
              <w:top w:w="75" w:type="dxa"/>
              <w:start w:w="85" w:type="dxa"/>
              <w:bottom w:w="75" w:type="dxa"/>
              <w:end w:w="85" w:type="dxa"/>
            </w:tcMar>
            <w:shd w:fill="F7F9FA"/>
          </w:tcPr>
          <w:p>
            <w:pPr>
              <w:spacing w:after="0"/>
              <w:jc w:val="left"/>
            </w:pPr>
            <w:r/>
            <w:r>
              <w:rPr>
                <w:rFonts w:ascii="Arial" w:hAnsi="Arial"/>
                <w:b w:val="0"/>
                <w:color w:val="24313A"/>
                <w:sz w:val="16"/>
              </w:rPr>
              <w:t>Automatically publish when validated.</w:t>
            </w:r>
          </w:p>
        </w:tc>
      </w:tr>
      <w:tr>
        <w:trPr>
          <w:cantSplit/>
        </w:trPr>
        <w:tc>
          <w:tcPr>
            <w:tcW w:type="dxa" w:w="1800"/>
            <w:vAlign w:val="top"/>
            <w:tcMar>
              <w:top w:w="75" w:type="dxa"/>
              <w:start w:w="85" w:type="dxa"/>
              <w:bottom w:w="75" w:type="dxa"/>
              <w:end w:w="85" w:type="dxa"/>
            </w:tcMar>
          </w:tcPr>
          <w:p>
            <w:pPr>
              <w:spacing w:after="0"/>
              <w:jc w:val="left"/>
            </w:pPr>
            <w:r/>
            <w:r>
              <w:rPr>
                <w:rFonts w:ascii="Arial" w:hAnsi="Arial"/>
                <w:b w:val="0"/>
                <w:color w:val="24313A"/>
                <w:sz w:val="16"/>
              </w:rPr>
              <w:t>2 — Interpretive</w:t>
            </w:r>
          </w:p>
        </w:tc>
        <w:tc>
          <w:tcPr>
            <w:tcW w:type="dxa" w:w="4824"/>
            <w:vAlign w:val="top"/>
            <w:tcMar>
              <w:top w:w="75" w:type="dxa"/>
              <w:start w:w="85" w:type="dxa"/>
              <w:bottom w:w="75" w:type="dxa"/>
              <w:end w:w="85" w:type="dxa"/>
            </w:tcMar>
          </w:tcPr>
          <w:p>
            <w:r>
              <w:t>Plain-language summaries, provision classification, likely affected groups.</w:t>
            </w:r>
          </w:p>
        </w:tc>
        <w:tc>
          <w:tcPr>
            <w:tcW w:type="dxa" w:w="3384"/>
            <w:vAlign w:val="top"/>
            <w:tcMar>
              <w:top w:w="75" w:type="dxa"/>
              <w:start w:w="85" w:type="dxa"/>
              <w:bottom w:w="75" w:type="dxa"/>
              <w:end w:w="85" w:type="dxa"/>
            </w:tcMar>
          </w:tcPr>
          <w:p>
            <w:pPr>
              <w:spacing w:after="0"/>
              <w:jc w:val="left"/>
            </w:pPr>
            <w:r/>
            <w:r>
              <w:rPr>
                <w:rFonts w:ascii="Arial" w:hAnsi="Arial"/>
                <w:b w:val="0"/>
                <w:color w:val="24313A"/>
                <w:sz w:val="16"/>
              </w:rPr>
              <w:t>Publish as provisional when controls pass.</w:t>
            </w:r>
          </w:p>
        </w:tc>
      </w:tr>
      <w:tr>
        <w:trPr>
          <w:cantSplit/>
        </w:trPr>
        <w:tc>
          <w:tcPr>
            <w:tcW w:type="dxa" w:w="1800"/>
            <w:vAlign w:val="top"/>
            <w:tcMar>
              <w:top w:w="75" w:type="dxa"/>
              <w:start w:w="85" w:type="dxa"/>
              <w:bottom w:w="75" w:type="dxa"/>
              <w:end w:w="85" w:type="dxa"/>
            </w:tcMar>
            <w:shd w:fill="F7F9FA"/>
          </w:tcPr>
          <w:p>
            <w:pPr>
              <w:spacing w:after="0"/>
              <w:jc w:val="left"/>
            </w:pPr>
            <w:r/>
            <w:r>
              <w:rPr>
                <w:rFonts w:ascii="Arial" w:hAnsi="Arial"/>
                <w:b w:val="0"/>
                <w:color w:val="24313A"/>
                <w:sz w:val="16"/>
              </w:rPr>
              <w:t>3 — Consequential analysis</w:t>
            </w:r>
          </w:p>
        </w:tc>
        <w:tc>
          <w:tcPr>
            <w:tcW w:type="dxa" w:w="4824"/>
            <w:vAlign w:val="top"/>
            <w:tcMar>
              <w:top w:w="75" w:type="dxa"/>
              <w:start w:w="85" w:type="dxa"/>
              <w:bottom w:w="75" w:type="dxa"/>
              <w:end w:w="85" w:type="dxa"/>
            </w:tcMar>
            <w:shd w:fill="F7F9FA"/>
          </w:tcPr>
          <w:p>
            <w:r>
              <w:t>Distribution, incidence, beneficiary patterns, narrow-benefit and targeted-provision indicators.</w:t>
            </w:r>
          </w:p>
        </w:tc>
        <w:tc>
          <w:tcPr>
            <w:tcW w:type="dxa" w:w="3384"/>
            <w:vAlign w:val="top"/>
            <w:tcMar>
              <w:top w:w="75" w:type="dxa"/>
              <w:start w:w="85" w:type="dxa"/>
              <w:bottom w:w="75" w:type="dxa"/>
              <w:end w:w="85" w:type="dxa"/>
            </w:tcMar>
            <w:shd w:fill="F7F9FA"/>
          </w:tcPr>
          <w:p>
            <w:pPr>
              <w:spacing w:after="0"/>
              <w:jc w:val="left"/>
            </w:pPr>
            <w:r/>
            <w:r>
              <w:rPr>
                <w:rFonts w:ascii="Arial" w:hAnsi="Arial"/>
                <w:b w:val="0"/>
                <w:color w:val="24313A"/>
                <w:sz w:val="16"/>
              </w:rPr>
              <w:t>Automate and publish provisionally unless escalated.</w:t>
            </w:r>
          </w:p>
        </w:tc>
      </w:tr>
      <w:tr>
        <w:trPr>
          <w:cantSplit/>
        </w:trPr>
        <w:tc>
          <w:tcPr>
            <w:tcW w:type="dxa" w:w="1800"/>
            <w:vAlign w:val="top"/>
            <w:tcMar>
              <w:top w:w="75" w:type="dxa"/>
              <w:start w:w="85" w:type="dxa"/>
              <w:bottom w:w="75" w:type="dxa"/>
              <w:end w:w="85" w:type="dxa"/>
            </w:tcMar>
          </w:tcPr>
          <w:p>
            <w:pPr>
              <w:spacing w:after="0"/>
              <w:jc w:val="left"/>
            </w:pPr>
            <w:r/>
            <w:r>
              <w:rPr>
                <w:rFonts w:ascii="Arial" w:hAnsi="Arial"/>
                <w:b w:val="0"/>
                <w:color w:val="24313A"/>
                <w:sz w:val="16"/>
              </w:rPr>
              <w:t>4 — Accusatory / intent-based</w:t>
            </w:r>
          </w:p>
        </w:tc>
        <w:tc>
          <w:tcPr>
            <w:tcW w:type="dxa" w:w="4824"/>
            <w:vAlign w:val="top"/>
            <w:tcMar>
              <w:top w:w="75" w:type="dxa"/>
              <w:start w:w="85" w:type="dxa"/>
              <w:bottom w:w="75" w:type="dxa"/>
              <w:end w:w="85" w:type="dxa"/>
            </w:tcMar>
          </w:tcPr>
          <w:p>
            <w:r>
              <w:t>Claims about motive, corruption, illegality, quid pro quo, or a named entity being the intended beneficiary.</w:t>
            </w:r>
          </w:p>
        </w:tc>
        <w:tc>
          <w:tcPr>
            <w:tcW w:type="dxa" w:w="3384"/>
            <w:vAlign w:val="top"/>
            <w:tcMar>
              <w:top w:w="75" w:type="dxa"/>
              <w:start w:w="85" w:type="dxa"/>
              <w:bottom w:w="75" w:type="dxa"/>
              <w:end w:w="85" w:type="dxa"/>
            </w:tcMar>
          </w:tcPr>
          <w:p>
            <w:pPr>
              <w:spacing w:after="0"/>
              <w:jc w:val="left"/>
            </w:pPr>
            <w:r/>
            <w:r>
              <w:rPr>
                <w:rFonts w:ascii="Arial" w:hAnsi="Arial"/>
                <w:b w:val="0"/>
                <w:color w:val="24313A"/>
                <w:sz w:val="16"/>
              </w:rPr>
              <w:t>Do not automatically publish as a platform finding; require human, legal, or expert action.</w:t>
            </w:r>
          </w:p>
        </w:tc>
      </w:tr>
    </w:tbl>
    <w:p>
      <w:r>
        <w:t>Automatic escalation should occur for material agent disagreement, unsupported citations, failed deterministic checks, new provision classes, low calibrated confidence, unusually large population or dollar impact, named-entity implication, large model-version changes, or intent-oriented language.</w:t>
      </w:r>
    </w:p>
    <w:p>
      <w:pPr>
        <w:pStyle w:val="Heading2"/>
      </w:pPr>
      <w:r>
        <w:t>9.7 AI Decision Ledger</w:t>
      </w:r>
    </w:p>
    <w:p>
      <w:r>
        <w:t>The ledger is the control plane for accountability. Its decision history is append-only and tamper-evident, but not every raw prompt, retrieved passage, or user input is retained or publicly disclosed. It records decisions that are published, withheld, corrected, superseded, or never shown publicly, while applying explicit storage, redaction, retention, access, and deletion rules to sensitive or restricted fields. It must answer which model acted, what evidence and governed model scenario it used, what instructions and perspective were active, which validators ran, why human review was or was not required, and how later changes affected the result.</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304"/>
            <w:vAlign w:val="top"/>
            <w:shd w:fill="17324D"/>
            <w:tcMar>
              <w:top w:w="90" w:type="dxa"/>
              <w:start w:w="90" w:type="dxa"/>
              <w:bottom w:w="90" w:type="dxa"/>
              <w:end w:w="90" w:type="dxa"/>
            </w:tcMar>
          </w:tcPr>
          <w:p>
            <w:pPr>
              <w:spacing w:after="0"/>
              <w:jc w:val="left"/>
            </w:pPr>
            <w:r/>
            <w:r>
              <w:rPr>
                <w:rFonts w:ascii="Arial" w:hAnsi="Arial"/>
                <w:b/>
                <w:color w:val="FFFFFF"/>
                <w:sz w:val="16"/>
              </w:rPr>
              <w:t>Ledger field group</w:t>
            </w:r>
          </w:p>
        </w:tc>
        <w:tc>
          <w:tcPr>
            <w:tcW w:type="dxa" w:w="7704"/>
            <w:vAlign w:val="top"/>
            <w:shd w:fill="17324D"/>
            <w:tcMar>
              <w:top w:w="90" w:type="dxa"/>
              <w:start w:w="90" w:type="dxa"/>
              <w:bottom w:w="90" w:type="dxa"/>
              <w:end w:w="90" w:type="dxa"/>
            </w:tcMar>
          </w:tcPr>
          <w:p>
            <w:pPr>
              <w:spacing w:after="0"/>
              <w:jc w:val="left"/>
            </w:pPr>
            <w:r/>
            <w:r>
              <w:rPr>
                <w:rFonts w:ascii="Arial" w:hAnsi="Arial"/>
                <w:b/>
                <w:color w:val="FFFFFF"/>
                <w:sz w:val="16"/>
              </w:rPr>
              <w:t>Required content</w:t>
            </w:r>
          </w:p>
        </w:tc>
      </w:tr>
      <w:tr>
        <w:trPr>
          <w:cantSplit/>
        </w:trPr>
        <w:tc>
          <w:tcPr>
            <w:tcW w:type="dxa" w:w="2304"/>
            <w:vAlign w:val="top"/>
            <w:tcMar>
              <w:top w:w="75" w:type="dxa"/>
              <w:start w:w="85" w:type="dxa"/>
              <w:bottom w:w="75" w:type="dxa"/>
              <w:end w:w="85" w:type="dxa"/>
            </w:tcMar>
          </w:tcPr>
          <w:p>
            <w:pPr>
              <w:spacing w:after="0"/>
              <w:jc w:val="left"/>
            </w:pPr>
            <w:r/>
            <w:r>
              <w:rPr>
                <w:rFonts w:ascii="Arial" w:hAnsi="Arial"/>
                <w:b w:val="0"/>
                <w:color w:val="24313A"/>
                <w:sz w:val="16"/>
              </w:rPr>
              <w:t>Identity</w:t>
            </w:r>
          </w:p>
        </w:tc>
        <w:tc>
          <w:tcPr>
            <w:tcW w:type="dxa" w:w="7704"/>
            <w:vAlign w:val="top"/>
            <w:tcMar>
              <w:top w:w="75" w:type="dxa"/>
              <w:start w:w="85" w:type="dxa"/>
              <w:bottom w:w="75" w:type="dxa"/>
              <w:end w:w="85" w:type="dxa"/>
            </w:tcMar>
          </w:tcPr>
          <w:p>
            <w:pPr>
              <w:spacing w:after="0"/>
              <w:jc w:val="left"/>
            </w:pPr>
            <w:r/>
            <w:r>
              <w:rPr>
                <w:rFonts w:ascii="Arial" w:hAnsi="Arial"/>
                <w:b w:val="0"/>
                <w:color w:val="24313A"/>
                <w:sz w:val="16"/>
              </w:rPr>
              <w:t>decision_id, timestamp, bill/document/provision/analysis-unit IDs, decision type, parent and superseded decisions.</w:t>
            </w:r>
          </w:p>
        </w:tc>
      </w:tr>
      <w:tr>
        <w:trPr>
          <w:cantSplit/>
        </w:trPr>
        <w:tc>
          <w:tcPr>
            <w:tcW w:type="dxa" w:w="2304"/>
            <w:vAlign w:val="top"/>
            <w:tcMar>
              <w:top w:w="75" w:type="dxa"/>
              <w:start w:w="85" w:type="dxa"/>
              <w:bottom w:w="75" w:type="dxa"/>
              <w:end w:w="85" w:type="dxa"/>
            </w:tcMar>
            <w:shd w:fill="F7F9FA"/>
          </w:tcPr>
          <w:p>
            <w:pPr>
              <w:spacing w:after="0"/>
              <w:jc w:val="left"/>
            </w:pPr>
            <w:r/>
            <w:r>
              <w:rPr>
                <w:rFonts w:ascii="Arial" w:hAnsi="Arial"/>
                <w:b w:val="0"/>
                <w:color w:val="24313A"/>
                <w:sz w:val="16"/>
              </w:rPr>
              <w:t>AI execution</w:t>
            </w:r>
          </w:p>
        </w:tc>
        <w:tc>
          <w:tcPr>
            <w:tcW w:type="dxa" w:w="7704"/>
            <w:vAlign w:val="top"/>
            <w:tcMar>
              <w:top w:w="75" w:type="dxa"/>
              <w:start w:w="85" w:type="dxa"/>
              <w:bottom w:w="75" w:type="dxa"/>
              <w:end w:w="85" w:type="dxa"/>
            </w:tcMar>
            <w:shd w:fill="F7F9FA"/>
          </w:tcPr>
          <w:p>
            <w:pPr>
              <w:spacing w:after="0"/>
              <w:jc w:val="left"/>
            </w:pPr>
            <w:r/>
            <w:r>
              <w:rPr>
                <w:rFonts w:ascii="Arial" w:hAnsi="Arial"/>
                <w:b w:val="0"/>
                <w:color w:val="24313A"/>
                <w:sz w:val="16"/>
              </w:rPr>
              <w:t>Provider, model and exact version, prompt-template version, tool or agent role, parameters, deterministic seed where applicable.</w:t>
            </w:r>
          </w:p>
        </w:tc>
      </w:tr>
      <w:tr>
        <w:trPr>
          <w:cantSplit/>
        </w:trPr>
        <w:tc>
          <w:tcPr>
            <w:tcW w:type="dxa" w:w="2304"/>
            <w:vAlign w:val="top"/>
            <w:tcMar>
              <w:top w:w="75" w:type="dxa"/>
              <w:start w:w="85" w:type="dxa"/>
              <w:bottom w:w="75" w:type="dxa"/>
              <w:end w:w="85" w:type="dxa"/>
            </w:tcMar>
          </w:tcPr>
          <w:p>
            <w:pPr>
              <w:spacing w:after="0"/>
              <w:jc w:val="left"/>
            </w:pPr>
            <w:r/>
            <w:r>
              <w:rPr>
                <w:rFonts w:ascii="Arial" w:hAnsi="Arial"/>
                <w:b w:val="0"/>
                <w:color w:val="24313A"/>
                <w:sz w:val="16"/>
              </w:rPr>
              <w:t>Evidence and inputs</w:t>
            </w:r>
          </w:p>
        </w:tc>
        <w:tc>
          <w:tcPr>
            <w:tcW w:type="dxa" w:w="7704"/>
            <w:vAlign w:val="top"/>
            <w:tcMar>
              <w:top w:w="75" w:type="dxa"/>
              <w:start w:w="85" w:type="dxa"/>
              <w:bottom w:w="75" w:type="dxa"/>
              <w:end w:w="85" w:type="dxa"/>
            </w:tcMar>
          </w:tcPr>
          <w:p>
            <w:r>
              <w:t>Source snapshot IDs and hashes, structured inputs, baseline_id, model_scenario_id, perspective_id, retrieved evidence-span identifiers, and storage/disclosure classifications. Sensitive raw values need not be duplicated in the ledger.</w:t>
            </w:r>
          </w:p>
        </w:tc>
      </w:tr>
      <w:tr>
        <w:trPr>
          <w:cantSplit/>
        </w:trPr>
        <w:tc>
          <w:tcPr>
            <w:tcW w:type="dxa" w:w="2304"/>
            <w:vAlign w:val="top"/>
            <w:tcMar>
              <w:top w:w="75" w:type="dxa"/>
              <w:start w:w="85" w:type="dxa"/>
              <w:bottom w:w="75" w:type="dxa"/>
              <w:end w:w="85" w:type="dxa"/>
            </w:tcMar>
            <w:shd w:fill="F7F9FA"/>
          </w:tcPr>
          <w:p>
            <w:pPr>
              <w:spacing w:after="0"/>
              <w:jc w:val="left"/>
            </w:pPr>
            <w:r/>
            <w:r>
              <w:rPr>
                <w:rFonts w:ascii="Arial" w:hAnsi="Arial"/>
                <w:b w:val="0"/>
                <w:color w:val="24313A"/>
                <w:sz w:val="16"/>
              </w:rPr>
              <w:t>Output</w:t>
            </w:r>
          </w:p>
        </w:tc>
        <w:tc>
          <w:tcPr>
            <w:tcW w:type="dxa" w:w="7704"/>
            <w:vAlign w:val="top"/>
            <w:tcMar>
              <w:top w:w="75" w:type="dxa"/>
              <w:start w:w="85" w:type="dxa"/>
              <w:bottom w:w="75" w:type="dxa"/>
              <w:end w:w="85" w:type="dxa"/>
            </w:tcMar>
            <w:shd w:fill="F7F9FA"/>
          </w:tcPr>
          <w:p>
            <w:pPr>
              <w:spacing w:after="0"/>
              <w:jc w:val="left"/>
            </w:pPr>
            <w:r/>
            <w:r>
              <w:rPr>
                <w:rFonts w:ascii="Arial" w:hAnsi="Arial"/>
                <w:b w:val="0"/>
                <w:color w:val="24313A"/>
                <w:sz w:val="16"/>
              </w:rPr>
              <w:t>Structured output, claim IDs, confidence or calibration band, uncertainty and counterevidence.</w:t>
            </w:r>
          </w:p>
        </w:tc>
      </w:tr>
      <w:tr>
        <w:trPr>
          <w:cantSplit/>
        </w:trPr>
        <w:tc>
          <w:tcPr>
            <w:tcW w:type="dxa" w:w="2304"/>
            <w:vAlign w:val="top"/>
            <w:tcMar>
              <w:top w:w="75" w:type="dxa"/>
              <w:start w:w="85" w:type="dxa"/>
              <w:bottom w:w="75" w:type="dxa"/>
              <w:end w:w="85" w:type="dxa"/>
            </w:tcMar>
          </w:tcPr>
          <w:p>
            <w:pPr>
              <w:spacing w:after="0"/>
              <w:jc w:val="left"/>
            </w:pPr>
            <w:r/>
            <w:r>
              <w:rPr>
                <w:rFonts w:ascii="Arial" w:hAnsi="Arial"/>
                <w:b w:val="0"/>
                <w:color w:val="24313A"/>
                <w:sz w:val="16"/>
              </w:rPr>
              <w:t>Assurance</w:t>
            </w:r>
          </w:p>
        </w:tc>
        <w:tc>
          <w:tcPr>
            <w:tcW w:type="dxa" w:w="7704"/>
            <w:vAlign w:val="top"/>
            <w:tcMar>
              <w:top w:w="75" w:type="dxa"/>
              <w:start w:w="85" w:type="dxa"/>
              <w:bottom w:w="75" w:type="dxa"/>
              <w:end w:w="85" w:type="dxa"/>
            </w:tcMar>
          </w:tcPr>
          <w:p>
            <w:pPr>
              <w:spacing w:after="0"/>
              <w:jc w:val="left"/>
            </w:pPr>
            <w:r/>
            <w:r>
              <w:rPr>
                <w:rFonts w:ascii="Arial" w:hAnsi="Arial"/>
                <w:b w:val="0"/>
                <w:color w:val="24313A"/>
                <w:sz w:val="16"/>
              </w:rPr>
              <w:t>Schema, citation, calculation, reconciliation, contradiction, invariant, and model-disagreement results.</w:t>
            </w:r>
          </w:p>
        </w:tc>
      </w:tr>
      <w:tr>
        <w:trPr>
          <w:cantSplit/>
        </w:trPr>
        <w:tc>
          <w:tcPr>
            <w:tcW w:type="dxa" w:w="2304"/>
            <w:vAlign w:val="top"/>
            <w:tcMar>
              <w:top w:w="75" w:type="dxa"/>
              <w:start w:w="85" w:type="dxa"/>
              <w:bottom w:w="75" w:type="dxa"/>
              <w:end w:w="85" w:type="dxa"/>
            </w:tcMar>
            <w:shd w:fill="F7F9FA"/>
          </w:tcPr>
          <w:p>
            <w:pPr>
              <w:spacing w:after="0"/>
              <w:jc w:val="left"/>
            </w:pPr>
            <w:r/>
            <w:r>
              <w:rPr>
                <w:rFonts w:ascii="Arial" w:hAnsi="Arial"/>
                <w:b w:val="0"/>
                <w:color w:val="24313A"/>
                <w:sz w:val="16"/>
              </w:rPr>
              <w:t>Risk and publication</w:t>
            </w:r>
          </w:p>
        </w:tc>
        <w:tc>
          <w:tcPr>
            <w:tcW w:type="dxa" w:w="7704"/>
            <w:vAlign w:val="top"/>
            <w:tcMar>
              <w:top w:w="75" w:type="dxa"/>
              <w:start w:w="85" w:type="dxa"/>
              <w:bottom w:w="75" w:type="dxa"/>
              <w:end w:w="85" w:type="dxa"/>
            </w:tcMar>
            <w:shd w:fill="F7F9FA"/>
          </w:tcPr>
          <w:p>
            <w:pPr>
              <w:spacing w:after="0"/>
              <w:jc w:val="left"/>
            </w:pPr>
            <w:r/>
            <w:r>
              <w:rPr>
                <w:rFonts w:ascii="Arial" w:hAnsi="Arial"/>
                <w:b w:val="0"/>
                <w:color w:val="24313A"/>
                <w:sz w:val="16"/>
              </w:rPr>
              <w:t>Risk tier, review triggers, publication lane/state, human-review requirement and reason.</w:t>
            </w:r>
          </w:p>
        </w:tc>
      </w:tr>
      <w:tr>
        <w:trPr>
          <w:cantSplit/>
        </w:trPr>
        <w:tc>
          <w:tcPr>
            <w:tcW w:type="dxa" w:w="2304"/>
            <w:vAlign w:val="top"/>
            <w:tcMar>
              <w:top w:w="75" w:type="dxa"/>
              <w:start w:w="85" w:type="dxa"/>
              <w:bottom w:w="75" w:type="dxa"/>
              <w:end w:w="85" w:type="dxa"/>
            </w:tcMar>
          </w:tcPr>
          <w:p>
            <w:pPr>
              <w:spacing w:after="0"/>
              <w:jc w:val="left"/>
            </w:pPr>
            <w:r/>
            <w:r>
              <w:rPr>
                <w:rFonts w:ascii="Arial" w:hAnsi="Arial"/>
                <w:b w:val="0"/>
                <w:color w:val="24313A"/>
                <w:sz w:val="16"/>
              </w:rPr>
              <w:t>Lifecycle</w:t>
            </w:r>
          </w:p>
        </w:tc>
        <w:tc>
          <w:tcPr>
            <w:tcW w:type="dxa" w:w="7704"/>
            <w:vAlign w:val="top"/>
            <w:tcMar>
              <w:top w:w="75" w:type="dxa"/>
              <w:start w:w="85" w:type="dxa"/>
              <w:bottom w:w="75" w:type="dxa"/>
              <w:end w:w="85" w:type="dxa"/>
            </w:tcMar>
          </w:tcPr>
          <w:p>
            <w:r>
              <w:t>Reviewer actions, corrections, error category, root cause, new test, reprocessing scope, supersession, rollback, retention, redaction, and authorized-deletion records.</w:t>
            </w:r>
          </w:p>
        </w:tc>
      </w:tr>
      <w:tr>
        <w:tc>
          <w:tcPr>
            <w:tcW w:type="dxa" w:w="4939"/>
          </w:tcPr>
          <w:p>
            <w:r>
              <w:t>Retention and disclosure</w:t>
            </w:r>
          </w:p>
        </w:tc>
        <w:tc>
          <w:tcPr>
            <w:tcW w:type="dxa" w:w="4939"/>
          </w:tcPr>
          <w:p>
            <w:r>
              <w:t>Field-level storage class, public/restricted/withheld status, redaction reason, retention period, legal hold, deletion authorization, and a stable hash or pointer when raw material is not retained.</w:t>
            </w:r>
          </w:p>
        </w:tc>
      </w:tr>
    </w:tbl>
    <w:p>
      <w:pPr>
        <w:pStyle w:val="Heading2"/>
      </w:pPr>
      <w:r>
        <w:t>9.8 Independent-agent assurance</w:t>
      </w:r>
    </w:p>
    <w:p>
      <w:r>
        <w:t>Agreement among AI systems is not proof, and agents sharing a model family, prompt pattern, retrieval source, or training lineage may repeat the same error. Structured disagreement is still a useful escalation signal. Extractor, citation verifier, skeptic, beneficiary, counterargument, and risk agents should operate on bounded schemas, while assurance records their provider, model-family, prompt, retrieval, and validator diversity. No majority vote establishes truth; authoritative output is released only after deterministic validators and policy rules evaluate the evidence and results.</w:t>
      </w:r>
    </w:p>
    <w:p>
      <w:pPr>
        <w:pStyle w:val="Heading2"/>
      </w:pPr>
      <w:r>
        <w:t>9.9 Human-review minimization and sampling</w:t>
      </w:r>
    </w:p>
    <w:p>
      <w:r>
        <w:t>The POC should review all Tier 4 items and all automatically triggered exceptions, while sampling successful lower-risk outputs. Initial working targets are 100% of high-risk escalations, 10% of new analysis types, 5% of ordinary provisional analyses, and 1% of mature high-confidence extractions. These rates are starting assumptions and must be adjusted from measured error rates. A practical POC objective is to limit routine review to approximately 10–20% of analytical items—not zero—so undetected failure can be measured.</w:t>
      </w:r>
    </w:p>
    <w:p>
      <w:pPr>
        <w:pStyle w:val="Heading2"/>
      </w:pPr>
      <w:r>
        <w:t>9.10 Governed model scenarios and perspective engine</w:t>
      </w:r>
    </w:p>
    <w:p>
      <w:r>
        <w:t>The platform may support differing social, political, and economic interpretations, but it must do so through explicit perspective profiles—not vague instructions to “sound conservative,” “sound progressive,” or favor a party. Technical assumptions belong to separately governed model scenarios. A perspective may choose which approved scenarios to discuss or compare, but it cannot create, edit, or silently substitute economic incidence, behavioral elasticity, discount-rate, financing, baseline, or data-vintage parameters.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3293"/>
        <w:gridCol w:w="3293"/>
        <w:gridCol w:w="3293"/>
      </w:tblGrid>
      <w:tr>
        <w:trPr>
          <w:tblHeader w:val="true"/>
          <w:cantSplit/>
        </w:trPr>
        <w:tc>
          <w:tcPr>
            <w:tcW w:type="dxa" w:w="2232"/>
            <w:vAlign w:val="top"/>
            <w:shd w:fill="17324D"/>
            <w:tcMar>
              <w:top w:w="90" w:type="dxa"/>
              <w:start w:w="90" w:type="dxa"/>
              <w:bottom w:w="90" w:type="dxa"/>
              <w:end w:w="90" w:type="dxa"/>
            </w:tcMar>
          </w:tcPr>
          <w:p>
            <w:pPr>
              <w:spacing w:after="0"/>
              <w:jc w:val="left"/>
            </w:pPr>
            <w:r/>
            <w:r>
              <w:rPr>
                <w:rFonts w:ascii="Arial" w:hAnsi="Arial"/>
                <w:b/>
                <w:color w:val="FFFFFF"/>
                <w:sz w:val="16"/>
              </w:rPr>
              <w:t>Layer</w:t>
            </w:r>
          </w:p>
        </w:tc>
        <w:tc>
          <w:tcPr>
            <w:tcW w:type="dxa" w:w="1872"/>
            <w:vAlign w:val="top"/>
            <w:shd w:fill="17324D"/>
            <w:tcMar>
              <w:top w:w="90" w:type="dxa"/>
              <w:start w:w="90" w:type="dxa"/>
              <w:bottom w:w="90" w:type="dxa"/>
              <w:end w:w="90" w:type="dxa"/>
            </w:tcMar>
          </w:tcPr>
          <w:p>
            <w:pPr>
              <w:spacing w:after="0"/>
              <w:jc w:val="left"/>
            </w:pPr>
            <w:r/>
            <w:r>
              <w:rPr>
                <w:rFonts w:ascii="Arial" w:hAnsi="Arial"/>
                <w:b/>
                <w:color w:val="FFFFFF"/>
                <w:sz w:val="16"/>
              </w:rPr>
              <w:t>May vary by perspective?</w:t>
            </w:r>
          </w:p>
        </w:tc>
        <w:tc>
          <w:tcPr>
            <w:tcW w:type="dxa" w:w="5904"/>
            <w:vAlign w:val="top"/>
            <w:shd w:fill="17324D"/>
            <w:tcMar>
              <w:top w:w="90" w:type="dxa"/>
              <w:start w:w="90" w:type="dxa"/>
              <w:bottom w:w="90" w:type="dxa"/>
              <w:end w:w="90" w:type="dxa"/>
            </w:tcMar>
          </w:tcPr>
          <w:p>
            <w:pPr>
              <w:spacing w:after="0"/>
              <w:jc w:val="left"/>
            </w:pPr>
            <w:r/>
            <w:r>
              <w:rPr>
                <w:rFonts w:ascii="Arial" w:hAnsi="Arial"/>
                <w:b/>
                <w:color w:val="FFFFFF"/>
                <w:sz w:val="16"/>
              </w:rPr>
              <w:t>Rule</w:t>
            </w:r>
          </w:p>
        </w:tc>
      </w:tr>
      <w:tr>
        <w:tc>
          <w:tcPr>
            <w:tcW w:type="dxa" w:w="3293"/>
          </w:tcPr>
          <w:p>
            <w:r>
              <w:t>Common evidence</w:t>
            </w:r>
          </w:p>
        </w:tc>
        <w:tc>
          <w:tcPr>
            <w:tcW w:type="dxa" w:w="3293"/>
          </w:tcPr>
          <w:p>
            <w:r>
              <w:t>No</w:t>
            </w:r>
          </w:p>
        </w:tc>
        <w:tc>
          <w:tcPr>
            <w:tcW w:type="dxa" w:w="3293"/>
          </w:tcPr>
          <w:p>
            <w:r>
              <w:t>Legislative text, dates, amounts, exact changes, official estimates, source citations, and deterministic source transformations remain invariant.</w:t>
            </w:r>
          </w:p>
        </w:tc>
      </w:tr>
      <w:tr>
        <w:tc>
          <w:tcPr>
            <w:tcW w:type="dxa" w:w="3293"/>
          </w:tcPr>
          <w:p>
            <w:r>
              <w:t>Canonical base scenario</w:t>
            </w:r>
          </w:p>
        </w:tc>
        <w:tc>
          <w:tcPr>
            <w:tcW w:type="dxa" w:w="3293"/>
          </w:tcPr>
          <w:p>
            <w:r>
              <w:t>No</w:t>
            </w:r>
          </w:p>
        </w:tc>
        <w:tc>
          <w:tcPr>
            <w:tcW w:type="dxa" w:w="3293"/>
          </w:tcPr>
          <w:p>
            <w:r>
              <w:t>Each report has one named, methods-governed default scenario. A perspective cannot alter or replace its technical parameters.</w:t>
            </w:r>
          </w:p>
        </w:tc>
      </w:tr>
      <w:tr>
        <w:tc>
          <w:tcPr>
            <w:tcW w:type="dxa" w:w="3293"/>
          </w:tcPr>
          <w:p>
            <w:r>
              <w:t>Alternative technical scenarios</w:t>
            </w:r>
          </w:p>
        </w:tc>
        <w:tc>
          <w:tcPr>
            <w:tcW w:type="dxa" w:w="3293"/>
          </w:tcPr>
          <w:p>
            <w:r>
              <w:t>Not by perspective</w:t>
            </w:r>
          </w:p>
        </w:tc>
        <w:tc>
          <w:tcPr>
            <w:tcW w:type="dxa" w:w="3293"/>
          </w:tcPr>
          <w:p>
            <w:r>
              <w:t>Methods governance may publish named sensitivity scenarios with explicit baselines, incidence, behavior, discounting, financing, data vintage, and uncertainty. Perspectives may compare them but cannot edit them.</w:t>
            </w:r>
          </w:p>
        </w:tc>
      </w:tr>
      <w:tr>
        <w:tc>
          <w:tcPr>
            <w:tcW w:type="dxa" w:w="3293"/>
          </w:tcPr>
          <w:p>
            <w:r>
              <w:t>Value priorities and reporting emphasis</w:t>
            </w:r>
          </w:p>
        </w:tc>
        <w:tc>
          <w:tcPr>
            <w:tcW w:type="dxa" w:w="3293"/>
          </w:tcPr>
          <w:p>
            <w:r>
              <w:t>Yes</w:t>
            </w:r>
          </w:p>
        </w:tc>
        <w:tc>
          <w:tcPr>
            <w:tcW w:type="dxa" w:w="3293"/>
          </w:tcPr>
          <w:p>
            <w:r>
              <w:t>Profiles may emphasize equity, growth, fiscal restraint, liberty, safety-net protection, simplicity, federalism, environment, small business, intergenerational effects, or different reporting horizons.</w:t>
            </w:r>
          </w:p>
        </w:tc>
      </w:tr>
      <w:tr>
        <w:tc>
          <w:tcPr>
            <w:tcW w:type="dxa" w:w="3293"/>
          </w:tcPr>
          <w:p>
            <w:r>
              <w:t>Explanation and assessment</w:t>
            </w:r>
          </w:p>
        </w:tc>
        <w:tc>
          <w:tcPr>
            <w:tcW w:type="dxa" w:w="3293"/>
          </w:tcPr>
          <w:p>
            <w:r>
              <w:t>Yes</w:t>
            </w:r>
          </w:p>
        </w:tc>
        <w:tc>
          <w:tcPr>
            <w:tcW w:type="dxa" w:w="3293"/>
          </w:tcPr>
          <w:p>
            <w:r>
              <w:t>AI explains how invariant evidence and governed scenario outputs relate to each profile, including counterevidence and unresolved tradeoffs.</w:t>
            </w:r>
          </w:p>
        </w:tc>
      </w:tr>
    </w:tbl>
    <w:p>
      <w:r>
        <w:t>Principle-based profiles should precede party labels. Initial profiles may include Distributional Equity, Fiscal Restraint, Economic Growth and Investment, Individual Liberty, Social Safety Net, Administrative Simplicity, Small-Business Impact, Federalism and State Autonomy, Environmental/Public Health, and Intergenerational Impact. Institution-authored or user-created profiles must disclose author, sources, effective date, value priorities, interpretive questions, reporting emphasis, constraints, and limitations. Technical model assumptions are referenced through model_scenario_id rather than embedded in a perspective profile.</w:t>
      </w:r>
    </w:p>
    <w:p>
      <w:pPr>
        <w:pStyle w:val="Heading2"/>
      </w:pPr>
      <w:r>
        <w:t>9.11 Perspective comparison and invariance tests</w:t>
      </w:r>
    </w:p>
    <w:p>
      <w:r>
        <w:t>The preferred interface shows perspectives side by side rather than silently rewriting one report. Automated invariance tests must prove that switching a perspective does not alter common evidence, exact source citations, deterministic calculations, the canonical base scenario, alternative scenario definitions, or the existence of material counterevidence. Any technical sensitivity result must display its separately governed model_scenario_id and remain identical across perspectives.</w:t>
      </w:r>
    </w:p>
    <w:p>
      <w:pPr>
        <w:pStyle w:val="Heading2"/>
      </w:pPr>
      <w:r>
        <w:t>9.12 Corrections as system learning</w:t>
      </w:r>
    </w:p>
    <w:p>
      <w:r>
        <w:t>A correction should preserve the original output and record the corrected output, error category, root cause, failing component, affected prior decisions, required reprocessing, new regression test, and any updated risk or escalation rule. Human work should improve the system rather than merely clean one report.</w:t>
      </w:r>
    </w:p>
    <w:p>
      <w:bookmarkStart w:id="100" w:name="sources"/>
      <w:pPr>
        <w:pStyle w:val="Heading1"/>
      </w:pPr>
      <w:r>
        <w:t>10. Data sources and provenance</w:t>
      </w:r>
      <w:bookmarkEnd w:id="100"/>
    </w:p>
    <w:p>
      <w:pPr>
        <w:spacing w:after="120" w:line="259" w:lineRule="auto"/>
      </w:pPr>
      <w:r>
        <w:rPr>
          <w:rFonts w:ascii="Arial" w:hAnsi="Arial"/>
          <w:color w:val="24313A"/>
          <w:sz w:val="19"/>
        </w:rPr>
        <w:t>The platform should prefer official sources, acquire them through source-specific connectors, preserve original files, and publish a source-health record. Current official capabilities include structured legislative APIs and bulk data, cost-estimate publications, tax and survey microdata, regulatory APIs, spending records, and lobbying/campaign-finance disclosures [S1–S14].</w:t>
      </w:r>
    </w:p>
    <w:p>
      <w:pPr>
        <w:pStyle w:val="Heading2"/>
      </w:pPr>
      <w:r>
        <w:t>10.1 Source precedence</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3293"/>
        <w:gridCol w:w="3293"/>
        <w:gridCol w:w="3293"/>
      </w:tblGrid>
      <w:tr>
        <w:trPr>
          <w:tblHeader w:val="true"/>
          <w:cantSplit/>
        </w:trPr>
        <w:tc>
          <w:tcPr>
            <w:tcW w:type="dxa" w:w="2088"/>
            <w:shd w:fill="17324D"/>
            <w:tcMar>
              <w:top w:w="90" w:type="dxa"/>
              <w:start w:w="90" w:type="dxa"/>
              <w:bottom w:w="90" w:type="dxa"/>
              <w:end w:w="90" w:type="dxa"/>
            </w:tcMar>
            <w:vAlign w:val="center"/>
          </w:tcPr>
          <w:p>
            <w:pPr>
              <w:jc w:val="left"/>
            </w:pPr>
            <w:r>
              <w:rPr>
                <w:rFonts w:ascii="Arial" w:hAnsi="Arial"/>
                <w:b/>
                <w:color w:val="FFFFFF"/>
                <w:sz w:val="16"/>
              </w:rPr>
              <w:t>Data element</w:t>
            </w:r>
          </w:p>
        </w:tc>
        <w:tc>
          <w:tcPr>
            <w:tcW w:type="dxa" w:w="3672"/>
            <w:shd w:fill="17324D"/>
            <w:tcMar>
              <w:top w:w="90" w:type="dxa"/>
              <w:start w:w="90" w:type="dxa"/>
              <w:bottom w:w="90" w:type="dxa"/>
              <w:end w:w="90" w:type="dxa"/>
            </w:tcMar>
            <w:vAlign w:val="center"/>
          </w:tcPr>
          <w:p>
            <w:pPr>
              <w:jc w:val="left"/>
            </w:pPr>
            <w:r>
              <w:rPr>
                <w:rFonts w:ascii="Arial" w:hAnsi="Arial"/>
                <w:b/>
                <w:color w:val="FFFFFF"/>
                <w:sz w:val="16"/>
              </w:rPr>
              <w:t>Preferred authority</w:t>
            </w:r>
          </w:p>
        </w:tc>
        <w:tc>
          <w:tcPr>
            <w:tcW w:type="dxa" w:w="3744"/>
            <w:shd w:fill="17324D"/>
            <w:tcMar>
              <w:top w:w="90" w:type="dxa"/>
              <w:start w:w="90" w:type="dxa"/>
              <w:bottom w:w="90" w:type="dxa"/>
              <w:end w:w="90" w:type="dxa"/>
            </w:tcMar>
            <w:vAlign w:val="center"/>
          </w:tcPr>
          <w:p>
            <w:pPr>
              <w:jc w:val="left"/>
            </w:pPr>
            <w:r>
              <w:rPr>
                <w:rFonts w:ascii="Arial" w:hAnsi="Arial"/>
                <w:b/>
                <w:color w:val="FFFFFF"/>
                <w:sz w:val="16"/>
              </w:rPr>
              <w:t>Fallback / supplement</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4"/>
              </w:rPr>
              <w:t>Bill identity, action, sponsors, committees</w:t>
            </w:r>
          </w:p>
        </w:tc>
        <w:tc>
          <w:tcPr>
            <w:tcW w:type="dxa" w:w="3672"/>
            <w:tcMar>
              <w:top w:w="75" w:type="dxa"/>
              <w:start w:w="85" w:type="dxa"/>
              <w:bottom w:w="75" w:type="dxa"/>
              <w:end w:w="85" w:type="dxa"/>
            </w:tcMar>
            <w:vAlign w:val="top"/>
          </w:tcPr>
          <w:p>
            <w:pPr>
              <w:spacing w:after="0"/>
            </w:pPr>
            <w:r>
              <w:rPr>
                <w:rFonts w:ascii="Arial" w:hAnsi="Arial"/>
                <w:color w:val="24313A"/>
                <w:sz w:val="14"/>
              </w:rPr>
              <w:t>Congress.gov API</w:t>
            </w:r>
          </w:p>
        </w:tc>
        <w:tc>
          <w:tcPr>
            <w:tcW w:type="dxa" w:w="3744"/>
            <w:tcMar>
              <w:top w:w="75" w:type="dxa"/>
              <w:start w:w="85" w:type="dxa"/>
              <w:bottom w:w="75" w:type="dxa"/>
              <w:end w:w="85" w:type="dxa"/>
            </w:tcMar>
            <w:vAlign w:val="top"/>
          </w:tcPr>
          <w:p>
            <w:pPr>
              <w:spacing w:after="0"/>
            </w:pPr>
            <w:r>
              <w:rPr>
                <w:rFonts w:ascii="Arial" w:hAnsi="Arial"/>
                <w:color w:val="24313A"/>
                <w:sz w:val="14"/>
              </w:rPr>
              <w:t>House/Senate pages; GovInfo status XML.</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4"/>
              </w:rPr>
              <w:t>Official bill text and versions</w:t>
            </w:r>
          </w:p>
        </w:tc>
        <w:tc>
          <w:tcPr>
            <w:tcW w:type="dxa" w:w="3672"/>
            <w:shd w:fill="F7F9FA"/>
            <w:tcMar>
              <w:top w:w="75" w:type="dxa"/>
              <w:start w:w="85" w:type="dxa"/>
              <w:bottom w:w="75" w:type="dxa"/>
              <w:end w:w="85" w:type="dxa"/>
            </w:tcMar>
            <w:vAlign w:val="top"/>
          </w:tcPr>
          <w:p>
            <w:pPr>
              <w:spacing w:after="0"/>
            </w:pPr>
            <w:r>
              <w:rPr>
                <w:rFonts w:ascii="Arial" w:hAnsi="Arial"/>
                <w:color w:val="24313A"/>
                <w:sz w:val="14"/>
              </w:rPr>
              <w:t>GovInfo and Congress.gov official links</w:t>
            </w:r>
          </w:p>
        </w:tc>
        <w:tc>
          <w:tcPr>
            <w:tcW w:type="dxa" w:w="3744"/>
            <w:shd w:fill="F7F9FA"/>
            <w:tcMar>
              <w:top w:w="75" w:type="dxa"/>
              <w:start w:w="85" w:type="dxa"/>
              <w:bottom w:w="75" w:type="dxa"/>
              <w:end w:w="85" w:type="dxa"/>
            </w:tcMar>
            <w:vAlign w:val="top"/>
          </w:tcPr>
          <w:p>
            <w:pPr>
              <w:spacing w:after="0"/>
            </w:pPr>
            <w:r>
              <w:rPr>
                <w:rFonts w:ascii="Arial" w:hAnsi="Arial"/>
                <w:color w:val="24313A"/>
                <w:sz w:val="14"/>
              </w:rPr>
              <w:t>House/Senate document repositories.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4"/>
              </w:rPr>
              <w:t>Enacted law / codification</w:t>
            </w:r>
          </w:p>
        </w:tc>
        <w:tc>
          <w:tcPr>
            <w:tcW w:type="dxa" w:w="3672"/>
            <w:tcMar>
              <w:top w:w="75" w:type="dxa"/>
              <w:start w:w="85" w:type="dxa"/>
              <w:bottom w:w="75" w:type="dxa"/>
              <w:end w:w="85" w:type="dxa"/>
            </w:tcMar>
            <w:vAlign w:val="top"/>
          </w:tcPr>
          <w:p>
            <w:pPr>
              <w:spacing w:after="0"/>
            </w:pPr>
            <w:r>
              <w:rPr>
                <w:rFonts w:ascii="Arial" w:hAnsi="Arial"/>
                <w:color w:val="24313A"/>
                <w:sz w:val="14"/>
              </w:rPr>
              <w:t>GovInfo, Statutes at Large, U.S. Code sources</w:t>
            </w:r>
          </w:p>
        </w:tc>
        <w:tc>
          <w:tcPr>
            <w:tcW w:type="dxa" w:w="3744"/>
            <w:tcMar>
              <w:top w:w="75" w:type="dxa"/>
              <w:start w:w="85" w:type="dxa"/>
              <w:bottom w:w="75" w:type="dxa"/>
              <w:end w:w="85" w:type="dxa"/>
            </w:tcMar>
            <w:vAlign w:val="top"/>
          </w:tcPr>
          <w:p>
            <w:pPr>
              <w:spacing w:after="0"/>
            </w:pPr>
            <w:r>
              <w:rPr>
                <w:rFonts w:ascii="Arial" w:hAnsi="Arial"/>
                <w:color w:val="24313A"/>
                <w:sz w:val="14"/>
              </w:rPr>
              <w:t>Agency implementation materials.</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4"/>
              </w:rPr>
              <w:t>Budget effects</w:t>
            </w:r>
          </w:p>
        </w:tc>
        <w:tc>
          <w:tcPr>
            <w:tcW w:type="dxa" w:w="3672"/>
            <w:shd w:fill="F7F9FA"/>
            <w:tcMar>
              <w:top w:w="75" w:type="dxa"/>
              <w:start w:w="85" w:type="dxa"/>
              <w:bottom w:w="75" w:type="dxa"/>
              <w:end w:w="85" w:type="dxa"/>
            </w:tcMar>
            <w:vAlign w:val="top"/>
          </w:tcPr>
          <w:p>
            <w:pPr>
              <w:spacing w:after="0"/>
            </w:pPr>
            <w:r>
              <w:rPr>
                <w:rFonts w:ascii="Arial" w:hAnsi="Arial"/>
                <w:color w:val="24313A"/>
                <w:sz w:val="14"/>
              </w:rPr>
              <w:t>CBO and committee materials</w:t>
            </w:r>
          </w:p>
        </w:tc>
        <w:tc>
          <w:tcPr>
            <w:tcW w:type="dxa" w:w="3744"/>
            <w:shd w:fill="F7F9FA"/>
            <w:tcMar>
              <w:top w:w="75" w:type="dxa"/>
              <w:start w:w="85" w:type="dxa"/>
              <w:bottom w:w="75" w:type="dxa"/>
              <w:end w:w="85" w:type="dxa"/>
            </w:tcMar>
            <w:vAlign w:val="top"/>
          </w:tcPr>
          <w:p>
            <w:pPr>
              <w:spacing w:after="0"/>
            </w:pPr>
            <w:r>
              <w:rPr>
                <w:rFonts w:ascii="Arial" w:hAnsi="Arial"/>
                <w:color w:val="24313A"/>
                <w:sz w:val="14"/>
              </w:rPr>
              <w:t>Agency estimates and transparent independent models.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4"/>
              </w:rPr>
              <w:t>Tax revenue and distribution</w:t>
            </w:r>
          </w:p>
        </w:tc>
        <w:tc>
          <w:tcPr>
            <w:tcW w:type="dxa" w:w="3672"/>
            <w:tcMar>
              <w:top w:w="75" w:type="dxa"/>
              <w:start w:w="85" w:type="dxa"/>
              <w:bottom w:w="75" w:type="dxa"/>
              <w:end w:w="85" w:type="dxa"/>
            </w:tcMar>
            <w:vAlign w:val="top"/>
          </w:tcPr>
          <w:p>
            <w:pPr>
              <w:spacing w:after="0"/>
            </w:pPr>
            <w:r>
              <w:rPr>
                <w:rFonts w:ascii="Arial" w:hAnsi="Arial"/>
                <w:color w:val="24313A"/>
                <w:sz w:val="14"/>
              </w:rPr>
              <w:t>JCT; IRS data for independent modeling</w:t>
            </w:r>
          </w:p>
        </w:tc>
        <w:tc>
          <w:tcPr>
            <w:tcW w:type="dxa" w:w="3744"/>
            <w:tcMar>
              <w:top w:w="75" w:type="dxa"/>
              <w:start w:w="85" w:type="dxa"/>
              <w:bottom w:w="75" w:type="dxa"/>
              <w:end w:w="85" w:type="dxa"/>
            </w:tcMar>
            <w:vAlign w:val="top"/>
          </w:tcPr>
          <w:p>
            <w:pPr>
              <w:spacing w:after="0"/>
            </w:pPr>
            <w:r>
              <w:rPr>
                <w:rFonts w:ascii="Arial" w:hAnsi="Arial"/>
                <w:color w:val="24313A"/>
                <w:sz w:val="14"/>
              </w:rPr>
              <w:t>CBO, Treasury publications, independent models.</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4"/>
              </w:rPr>
              <w:t>Household income and program participation</w:t>
            </w:r>
          </w:p>
        </w:tc>
        <w:tc>
          <w:tcPr>
            <w:tcW w:type="dxa" w:w="3672"/>
            <w:shd w:fill="F7F9FA"/>
            <w:tcMar>
              <w:top w:w="75" w:type="dxa"/>
              <w:start w:w="85" w:type="dxa"/>
              <w:bottom w:w="75" w:type="dxa"/>
              <w:end w:w="85" w:type="dxa"/>
            </w:tcMar>
            <w:vAlign w:val="top"/>
          </w:tcPr>
          <w:p>
            <w:pPr>
              <w:spacing w:after="0"/>
            </w:pPr>
            <w:r>
              <w:rPr>
                <w:rFonts w:ascii="Arial" w:hAnsi="Arial"/>
                <w:color w:val="24313A"/>
                <w:sz w:val="14"/>
              </w:rPr>
              <w:t>Census CPS ASEC, SIPP, ACS; agency administrative summaries</w:t>
            </w:r>
          </w:p>
        </w:tc>
        <w:tc>
          <w:tcPr>
            <w:tcW w:type="dxa" w:w="3744"/>
            <w:shd w:fill="F7F9FA"/>
            <w:tcMar>
              <w:top w:w="75" w:type="dxa"/>
              <w:start w:w="85" w:type="dxa"/>
              <w:bottom w:w="75" w:type="dxa"/>
              <w:end w:w="85" w:type="dxa"/>
            </w:tcMar>
            <w:vAlign w:val="top"/>
          </w:tcPr>
          <w:p>
            <w:pPr>
              <w:spacing w:after="0"/>
            </w:pPr>
            <w:r>
              <w:rPr>
                <w:rFonts w:ascii="Arial" w:hAnsi="Arial"/>
                <w:color w:val="24313A"/>
                <w:sz w:val="14"/>
              </w:rPr>
              <w:t>Transparent research datasets.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4"/>
              </w:rPr>
              <w:t>Regulations and dockets</w:t>
            </w:r>
          </w:p>
        </w:tc>
        <w:tc>
          <w:tcPr>
            <w:tcW w:type="dxa" w:w="3672"/>
            <w:tcMar>
              <w:top w:w="75" w:type="dxa"/>
              <w:start w:w="85" w:type="dxa"/>
              <w:bottom w:w="75" w:type="dxa"/>
              <w:end w:w="85" w:type="dxa"/>
            </w:tcMar>
            <w:vAlign w:val="top"/>
          </w:tcPr>
          <w:p>
            <w:pPr>
              <w:spacing w:after="0"/>
            </w:pPr>
            <w:r>
              <w:rPr>
                <w:rFonts w:ascii="Arial" w:hAnsi="Arial"/>
                <w:color w:val="24313A"/>
                <w:sz w:val="14"/>
              </w:rPr>
              <w:t>Federal Register and Regulations.gov APIs</w:t>
            </w:r>
          </w:p>
        </w:tc>
        <w:tc>
          <w:tcPr>
            <w:tcW w:type="dxa" w:w="3744"/>
            <w:tcMar>
              <w:top w:w="75" w:type="dxa"/>
              <w:start w:w="85" w:type="dxa"/>
              <w:bottom w:w="75" w:type="dxa"/>
              <w:end w:w="85" w:type="dxa"/>
            </w:tcMar>
            <w:vAlign w:val="top"/>
          </w:tcPr>
          <w:p>
            <w:pPr>
              <w:spacing w:after="0"/>
            </w:pPr>
            <w:r>
              <w:rPr>
                <w:rFonts w:ascii="Arial" w:hAnsi="Arial"/>
                <w:color w:val="24313A"/>
                <w:sz w:val="14"/>
              </w:rPr>
              <w:t>Agency rulemaking pages.</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4"/>
              </w:rPr>
              <w:t>Federal awards and recipients</w:t>
            </w:r>
          </w:p>
        </w:tc>
        <w:tc>
          <w:tcPr>
            <w:tcW w:type="dxa" w:w="3672"/>
            <w:shd w:fill="F7F9FA"/>
            <w:tcMar>
              <w:top w:w="75" w:type="dxa"/>
              <w:start w:w="85" w:type="dxa"/>
              <w:bottom w:w="75" w:type="dxa"/>
              <w:end w:w="85" w:type="dxa"/>
            </w:tcMar>
            <w:vAlign w:val="top"/>
          </w:tcPr>
          <w:p>
            <w:pPr>
              <w:spacing w:after="0"/>
            </w:pPr>
            <w:r>
              <w:rPr>
                <w:rFonts w:ascii="Arial" w:hAnsi="Arial"/>
                <w:color w:val="24313A"/>
                <w:sz w:val="14"/>
              </w:rPr>
              <w:t>USAspending</w:t>
            </w:r>
          </w:p>
        </w:tc>
        <w:tc>
          <w:tcPr>
            <w:tcW w:type="dxa" w:w="3744"/>
            <w:shd w:fill="F7F9FA"/>
            <w:tcMar>
              <w:top w:w="75" w:type="dxa"/>
              <w:start w:w="85" w:type="dxa"/>
              <w:bottom w:w="75" w:type="dxa"/>
              <w:end w:w="85" w:type="dxa"/>
            </w:tcMar>
            <w:vAlign w:val="top"/>
          </w:tcPr>
          <w:p>
            <w:pPr>
              <w:spacing w:after="0"/>
            </w:pPr>
            <w:r>
              <w:rPr>
                <w:rFonts w:ascii="Arial" w:hAnsi="Arial"/>
                <w:color w:val="24313A"/>
                <w:sz w:val="14"/>
              </w:rPr>
              <w:t>Agency award systems and SAM-related sources.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4"/>
              </w:rPr>
              <w:t>Lobbying</w:t>
            </w:r>
          </w:p>
        </w:tc>
        <w:tc>
          <w:tcPr>
            <w:tcW w:type="dxa" w:w="3672"/>
            <w:tcMar>
              <w:top w:w="75" w:type="dxa"/>
              <w:start w:w="85" w:type="dxa"/>
              <w:bottom w:w="75" w:type="dxa"/>
              <w:end w:w="85" w:type="dxa"/>
            </w:tcMar>
            <w:vAlign w:val="top"/>
          </w:tcPr>
          <w:p>
            <w:pPr>
              <w:spacing w:after="0"/>
            </w:pPr>
            <w:r>
              <w:rPr>
                <w:rFonts w:ascii="Arial" w:hAnsi="Arial"/>
                <w:color w:val="24313A"/>
                <w:sz w:val="14"/>
              </w:rPr>
              <w:t>Senate/House LDA public API and filings</w:t>
            </w:r>
          </w:p>
        </w:tc>
        <w:tc>
          <w:tcPr>
            <w:tcW w:type="dxa" w:w="3744"/>
            <w:tcMar>
              <w:top w:w="75" w:type="dxa"/>
              <w:start w:w="85" w:type="dxa"/>
              <w:bottom w:w="75" w:type="dxa"/>
              <w:end w:w="85" w:type="dxa"/>
            </w:tcMar>
            <w:vAlign w:val="top"/>
          </w:tcPr>
          <w:p>
            <w:pPr>
              <w:spacing w:after="0"/>
            </w:pPr>
            <w:r>
              <w:rPr>
                <w:rFonts w:ascii="Arial" w:hAnsi="Arial"/>
                <w:color w:val="24313A"/>
                <w:sz w:val="14"/>
              </w:rPr>
              <w:t>OpenSecrets or research datasets for enrichment.</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4"/>
              </w:rPr>
              <w:t>Campaign finance</w:t>
            </w:r>
          </w:p>
        </w:tc>
        <w:tc>
          <w:tcPr>
            <w:tcW w:type="dxa" w:w="3672"/>
            <w:shd w:fill="F7F9FA"/>
            <w:tcMar>
              <w:top w:w="75" w:type="dxa"/>
              <w:start w:w="85" w:type="dxa"/>
              <w:bottom w:w="75" w:type="dxa"/>
              <w:end w:w="85" w:type="dxa"/>
            </w:tcMar>
            <w:vAlign w:val="top"/>
          </w:tcPr>
          <w:p>
            <w:pPr>
              <w:spacing w:after="0"/>
            </w:pPr>
            <w:r>
              <w:rPr>
                <w:rFonts w:ascii="Arial" w:hAnsi="Arial"/>
                <w:color w:val="24313A"/>
                <w:sz w:val="14"/>
              </w:rPr>
              <w:t>FEC API and bulk data</w:t>
            </w:r>
          </w:p>
        </w:tc>
        <w:tc>
          <w:tcPr>
            <w:tcW w:type="dxa" w:w="3744"/>
            <w:shd w:fill="F7F9FA"/>
            <w:tcMar>
              <w:top w:w="75" w:type="dxa"/>
              <w:start w:w="85" w:type="dxa"/>
              <w:bottom w:w="75" w:type="dxa"/>
              <w:end w:w="85" w:type="dxa"/>
            </w:tcMar>
            <w:vAlign w:val="top"/>
          </w:tcPr>
          <w:p>
            <w:pPr>
              <w:spacing w:after="0"/>
            </w:pPr>
            <w:r>
              <w:rPr>
                <w:rFonts w:ascii="Arial" w:hAnsi="Arial"/>
                <w:color w:val="24313A"/>
                <w:sz w:val="14"/>
              </w:rPr>
              <w:t>Reputable aggregators for entity resolution.</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4"/>
              </w:rPr>
              <w:t>Public-company identity / financials</w:t>
            </w:r>
          </w:p>
        </w:tc>
        <w:tc>
          <w:tcPr>
            <w:tcW w:type="dxa" w:w="3672"/>
            <w:tcMar>
              <w:top w:w="75" w:type="dxa"/>
              <w:start w:w="85" w:type="dxa"/>
              <w:bottom w:w="75" w:type="dxa"/>
              <w:end w:w="85" w:type="dxa"/>
            </w:tcMar>
            <w:vAlign w:val="top"/>
          </w:tcPr>
          <w:p>
            <w:pPr>
              <w:spacing w:after="0"/>
            </w:pPr>
            <w:r>
              <w:rPr>
                <w:rFonts w:ascii="Arial" w:hAnsi="Arial"/>
                <w:color w:val="24313A"/>
                <w:sz w:val="14"/>
              </w:rPr>
              <w:t>SEC EDGAR APIs</w:t>
            </w:r>
          </w:p>
        </w:tc>
        <w:tc>
          <w:tcPr>
            <w:tcW w:type="dxa" w:w="3744"/>
            <w:tcMar>
              <w:top w:w="75" w:type="dxa"/>
              <w:start w:w="85" w:type="dxa"/>
              <w:bottom w:w="75" w:type="dxa"/>
              <w:end w:w="85" w:type="dxa"/>
            </w:tcMar>
            <w:vAlign w:val="top"/>
          </w:tcPr>
          <w:p>
            <w:pPr>
              <w:spacing w:after="0"/>
            </w:pPr>
            <w:r>
              <w:rPr>
                <w:rFonts w:ascii="Arial" w:hAnsi="Arial"/>
                <w:color w:val="24313A"/>
                <w:sz w:val="14"/>
              </w:rPr>
              <w:t>Commercial/entity-resolution data where licensed.</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4"/>
              </w:rPr>
              <w:t>Methods / controls</w:t>
            </w:r>
          </w:p>
        </w:tc>
        <w:tc>
          <w:tcPr>
            <w:tcW w:type="dxa" w:w="3672"/>
            <w:shd w:fill="F7F9FA"/>
            <w:tcMar>
              <w:top w:w="75" w:type="dxa"/>
              <w:start w:w="85" w:type="dxa"/>
              <w:bottom w:w="75" w:type="dxa"/>
              <w:end w:w="85" w:type="dxa"/>
            </w:tcMar>
            <w:vAlign w:val="top"/>
          </w:tcPr>
          <w:p>
            <w:pPr>
              <w:spacing w:after="0"/>
            </w:pPr>
            <w:r>
              <w:rPr>
                <w:rFonts w:ascii="Arial" w:hAnsi="Arial"/>
                <w:color w:val="24313A"/>
                <w:sz w:val="14"/>
              </w:rPr>
              <w:t>CBO/JCT/agency methodology; GAO data reliability and internal control; NIST AI RMF</w:t>
            </w:r>
          </w:p>
        </w:tc>
        <w:tc>
          <w:tcPr>
            <w:tcW w:type="dxa" w:w="3744"/>
            <w:shd w:fill="F7F9FA"/>
            <w:tcMar>
              <w:top w:w="75" w:type="dxa"/>
              <w:start w:w="85" w:type="dxa"/>
              <w:bottom w:w="75" w:type="dxa"/>
              <w:end w:w="85" w:type="dxa"/>
            </w:tcMar>
            <w:vAlign w:val="top"/>
          </w:tcPr>
          <w:p>
            <w:pPr>
              <w:spacing w:after="0"/>
            </w:pPr>
            <w:r>
              <w:rPr>
                <w:rFonts w:ascii="Arial" w:hAnsi="Arial"/>
                <w:color w:val="24313A"/>
                <w:sz w:val="14"/>
              </w:rPr>
              <w:t>Peer-reviewed methods and independent standards.</w:t>
            </w:r>
          </w:p>
        </w:tc>
      </w:tr>
    </w:tbl>
    <w:p>
      <w:pPr>
        <w:pStyle w:val="Heading2"/>
      </w:pPr>
      <w:r>
        <w:t>10.2 Provenance record</w:t>
      </w:r>
    </w:p>
    <w:tbl>
      <w:tblPr>
        <w:tblW w:type="auto" w:w="0"/>
        <w:jc w:val="center"/>
        <w:tblLayout w:type="fixed"/>
        <w:tblLook w:firstColumn="1" w:firstRow="1" w:lastColumn="0" w:lastRow="0" w:noHBand="0" w:noVBand="1" w:val="04A0"/>
        <w:tblBorders>
          <w:top w:val="single" w:sz="8" w:space="0" w:color="D5DCE2"/>
          <w:left w:val="single" w:sz="8" w:space="0" w:color="D5DCE2"/>
          <w:bottom w:val="single" w:sz="8" w:space="0" w:color="D5DCE2"/>
          <w:right w:val="single" w:sz="8" w:space="0" w:color="D5DCE2"/>
          <w:insideH w:val="single" w:sz="8" w:space="0" w:color="D5DCE2"/>
          <w:insideV w:val="single" w:sz="8" w:space="0" w:color="D5DCE2"/>
        </w:tblBorders>
      </w:tblPr>
      <w:tblGrid>
        <w:gridCol w:w="9878"/>
      </w:tblGrid>
      <w:tr>
        <w:trPr>
          <w:cantSplit/>
          <w:tblHeader w:val="true"/>
        </w:trPr>
        <w:tc>
          <w:tcPr>
            <w:tcW w:type="dxa" w:w="9432"/>
            <w:shd w:fill="F2F4F6"/>
            <w:tcMar>
              <w:top w:w="130" w:type="dxa"/>
              <w:start w:w="140" w:type="dxa"/>
              <w:bottom w:w="130" w:type="dxa"/>
              <w:end w:w="140" w:type="dxa"/>
            </w:tcMar>
          </w:tcPr>
          <w:p>
            <w:pPr>
              <w:spacing w:after="0"/>
            </w:pPr>
            <w:r>
              <w:rPr>
                <w:rFonts w:ascii="Courier New" w:hAnsi="Courier New"/>
                <w:color w:val="24313A"/>
                <w:sz w:val="15"/>
              </w:rPr>
              <w:t>source_record:</w:t>
            </w:r>
            <w:r>
              <w:br/>
            </w:r>
            <w:r>
              <w:rPr>
                <w:rFonts w:ascii="Courier New" w:hAnsi="Courier New"/>
                <w:color w:val="24313A"/>
                <w:sz w:val="15"/>
              </w:rPr>
              <w:t xml:space="preserve">  source_id: "govinfo:BILLS-119hr1234ih"</w:t>
            </w:r>
            <w:r>
              <w:br/>
            </w:r>
            <w:r>
              <w:rPr>
                <w:rFonts w:ascii="Courier New" w:hAnsi="Courier New"/>
                <w:color w:val="24313A"/>
                <w:sz w:val="15"/>
              </w:rPr>
              <w:t xml:space="preserve">  authority: "U.S. Government Publishing Office"</w:t>
            </w:r>
            <w:r>
              <w:br/>
            </w:r>
            <w:r>
              <w:rPr>
                <w:rFonts w:ascii="Courier New" w:hAnsi="Courier New"/>
                <w:color w:val="24313A"/>
                <w:sz w:val="15"/>
              </w:rPr>
              <w:t xml:space="preserve">  retrieved_at: "2026-07-22T15:30:00Z"</w:t>
            </w:r>
            <w:r>
              <w:br/>
            </w:r>
            <w:r>
              <w:rPr>
                <w:rFonts w:ascii="Courier New" w:hAnsi="Courier New"/>
                <w:color w:val="24313A"/>
                <w:sz w:val="15"/>
              </w:rPr>
              <w:t xml:space="preserve">  source_url: "..."</w:t>
            </w:r>
            <w:r>
              <w:br/>
            </w:r>
            <w:r>
              <w:rPr>
                <w:rFonts w:ascii="Courier New" w:hAnsi="Courier New"/>
                <w:color w:val="24313A"/>
                <w:sz w:val="15"/>
              </w:rPr>
              <w:t xml:space="preserve">  media_type: "application/xml"</w:t>
            </w:r>
            <w:r>
              <w:br/>
            </w:r>
            <w:r>
              <w:rPr>
                <w:rFonts w:ascii="Courier New" w:hAnsi="Courier New"/>
                <w:color w:val="24313A"/>
                <w:sz w:val="15"/>
              </w:rPr>
              <w:t xml:space="preserve">  content_hash: "sha256:..."</w:t>
            </w:r>
            <w:r>
              <w:br/>
            </w:r>
            <w:r>
              <w:rPr>
                <w:rFonts w:ascii="Courier New" w:hAnsi="Courier New"/>
                <w:color w:val="24313A"/>
                <w:sz w:val="15"/>
              </w:rPr>
              <w:t xml:space="preserve">  publication_date: "2026-07-21"</w:t>
            </w:r>
            <w:r>
              <w:br/>
            </w:r>
            <w:r>
              <w:rPr>
                <w:rFonts w:ascii="Courier New" w:hAnsi="Courier New"/>
                <w:color w:val="24313A"/>
                <w:sz w:val="15"/>
              </w:rPr>
              <w:t xml:space="preserve">  transformation:</w:t>
            </w:r>
            <w:r>
              <w:br/>
            </w:r>
            <w:r>
              <w:rPr>
                <w:rFonts w:ascii="Courier New" w:hAnsi="Courier New"/>
                <w:color w:val="24313A"/>
                <w:sz w:val="15"/>
              </w:rPr>
              <w:t xml:space="preserve">    parser_version: "bill-xml/1.4.0"</w:t>
            </w:r>
            <w:r>
              <w:br/>
            </w:r>
            <w:r>
              <w:rPr>
                <w:rFonts w:ascii="Courier New" w:hAnsi="Courier New"/>
                <w:color w:val="24313A"/>
                <w:sz w:val="15"/>
              </w:rPr>
              <w:t xml:space="preserve">    normalized_hash: "sha256:..."</w:t>
            </w:r>
            <w:r>
              <w:br/>
            </w:r>
            <w:r>
              <w:rPr>
                <w:rFonts w:ascii="Courier New" w:hAnsi="Courier New"/>
                <w:color w:val="24313A"/>
                <w:sz w:val="15"/>
              </w:rPr>
              <w:t xml:space="preserve">  quality:</w:t>
            </w:r>
            <w:r>
              <w:br/>
            </w:r>
            <w:r>
              <w:rPr>
                <w:rFonts w:ascii="Courier New" w:hAnsi="Courier New"/>
                <w:color w:val="24313A"/>
                <w:sz w:val="15"/>
              </w:rPr>
              <w:t xml:space="preserve">    completeness: "complete"</w:t>
            </w:r>
            <w:r>
              <w:br/>
            </w:r>
            <w:r>
              <w:rPr>
                <w:rFonts w:ascii="Courier New" w:hAnsi="Courier New"/>
                <w:color w:val="24313A"/>
                <w:sz w:val="15"/>
              </w:rPr>
              <w:t xml:space="preserve">    schema_validation: "passed"</w:t>
            </w:r>
            <w:r>
              <w:br/>
            </w:r>
            <w:r>
              <w:rPr>
                <w:rFonts w:ascii="Courier New" w:hAnsi="Courier New"/>
                <w:color w:val="24313A"/>
                <w:sz w:val="15"/>
              </w:rPr>
              <w:t xml:space="preserve">    known_issues: []</w:t>
            </w:r>
          </w:p>
        </w:tc>
      </w:tr>
    </w:tbl>
    <w:p>
      <w:pPr>
        <w:pStyle w:val="Heading2"/>
      </w:pPr>
      <w:r>
        <w:t>10.3 Source monitoring</w:t>
      </w:r>
    </w:p>
    <w:p>
      <w:pPr>
        <w:pStyle w:val="ListBullet"/>
        <w:spacing w:after="60"/>
        <w:ind w:left="0"/>
      </w:pPr>
      <w:r>
        <w:rPr>
          <w:rFonts w:ascii="Arial" w:hAnsi="Arial"/>
          <w:color w:val="24313A"/>
        </w:rPr>
        <w:t>Connector availability, latency, rate limits, schema changes, and stale data alerts.</w:t>
      </w:r>
    </w:p>
    <w:p>
      <w:pPr>
        <w:pStyle w:val="ListBullet"/>
        <w:spacing w:after="60"/>
        <w:ind w:left="0"/>
      </w:pPr>
      <w:r>
        <w:rPr>
          <w:rFonts w:ascii="Arial" w:hAnsi="Arial"/>
          <w:color w:val="24313A"/>
        </w:rPr>
        <w:t>Daily reconciliation of bill versions and actions across Congress.gov and GovInfo.</w:t>
      </w:r>
    </w:p>
    <w:p>
      <w:pPr>
        <w:pStyle w:val="ListBullet"/>
        <w:spacing w:after="60"/>
        <w:ind w:left="0"/>
      </w:pPr>
      <w:r>
        <w:rPr>
          <w:rFonts w:ascii="Arial" w:hAnsi="Arial"/>
          <w:color w:val="24313A"/>
        </w:rPr>
        <w:t>Checksum and record-count checks for bulk files.</w:t>
      </w:r>
    </w:p>
    <w:p>
      <w:pPr>
        <w:pStyle w:val="ListBullet"/>
        <w:spacing w:after="60"/>
        <w:ind w:left="0"/>
      </w:pPr>
      <w:r>
        <w:rPr>
          <w:rFonts w:ascii="Arial" w:hAnsi="Arial"/>
          <w:color w:val="24313A"/>
        </w:rPr>
        <w:t>Source-specific data cards describing coverage, omissions, revision behavior, and permitted use.</w:t>
      </w:r>
    </w:p>
    <w:p>
      <w:pPr>
        <w:pStyle w:val="ListBullet"/>
        <w:spacing w:after="60"/>
        <w:ind w:left="0"/>
      </w:pPr>
      <w:r>
        <w:rPr>
          <w:rFonts w:ascii="Arial" w:hAnsi="Arial"/>
          <w:color w:val="24313A"/>
        </w:rPr>
        <w:t>A visible “data current as of” timestamp for each report and component.</w:t>
      </w:r>
    </w:p>
    <w:p>
      <w:bookmarkStart w:id="110" w:name="architecture"/>
      <w:pPr>
        <w:pStyle w:val="Heading1"/>
      </w:pPr>
      <w:r>
        <w:t>11. Reference architecture</w:t>
      </w:r>
      <w:bookmarkEnd w:id="110"/>
    </w:p>
    <w:p>
      <w:r>
        <w:drawing>
          <wp:inline xmlns:a="http://schemas.openxmlformats.org/drawingml/2006/main" xmlns:pic="http://schemas.openxmlformats.org/drawingml/2006/picture">
            <wp:extent cx="6080760" cy="4183499"/>
            <wp:docPr id="3" name="Picture 3" title="Reference architecture" descr="Layered architecture from primary sources through ingestion, data platform, analysis engines, application services and public experiences."/>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80760" cy="4183499"/>
                    </a:xfrm>
                    <a:prstGeom prst="rect"/>
                  </pic:spPr>
                </pic:pic>
              </a:graphicData>
            </a:graphic>
          </wp:inline>
        </w:drawing>
      </w:r>
    </w:p>
    <w:p>
      <w:pPr>
        <w:pStyle w:val="Heading2"/>
      </w:pPr>
      <w:r>
        <w:t>11.1 Architectural qualities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016"/>
            <w:shd w:fill="17324D"/>
            <w:tcMar>
              <w:top w:w="90" w:type="dxa"/>
              <w:start w:w="90" w:type="dxa"/>
              <w:bottom w:w="90" w:type="dxa"/>
              <w:end w:w="90" w:type="dxa"/>
            </w:tcMar>
            <w:vAlign w:val="center"/>
          </w:tcPr>
          <w:p>
            <w:pPr>
              <w:jc w:val="left"/>
            </w:pPr>
            <w:r>
              <w:rPr>
                <w:rFonts w:ascii="Arial" w:hAnsi="Arial"/>
                <w:b/>
                <w:color w:val="FFFFFF"/>
                <w:sz w:val="16"/>
              </w:rPr>
              <w:t>Quality</w:t>
            </w:r>
          </w:p>
        </w:tc>
        <w:tc>
          <w:tcPr>
            <w:tcW w:type="dxa" w:w="7488"/>
            <w:shd w:fill="17324D"/>
            <w:tcMar>
              <w:top w:w="90" w:type="dxa"/>
              <w:start w:w="90" w:type="dxa"/>
              <w:bottom w:w="90" w:type="dxa"/>
              <w:end w:w="90" w:type="dxa"/>
            </w:tcMar>
            <w:vAlign w:val="center"/>
          </w:tcPr>
          <w:p>
            <w:pPr>
              <w:jc w:val="left"/>
            </w:pPr>
            <w:r>
              <w:rPr>
                <w:rFonts w:ascii="Arial" w:hAnsi="Arial"/>
                <w:b/>
                <w:color w:val="FFFFFF"/>
                <w:sz w:val="16"/>
              </w:rPr>
              <w:t>Design requirement</w:t>
            </w:r>
          </w:p>
        </w:tc>
      </w:tr>
      <w:tr>
        <w:trPr>
          <w:cantSplit/>
        </w:trPr>
        <w:tc>
          <w:tcPr>
            <w:tcW w:type="dxa" w:w="2016"/>
            <w:tcMar>
              <w:top w:w="75" w:type="dxa"/>
              <w:start w:w="85" w:type="dxa"/>
              <w:bottom w:w="75" w:type="dxa"/>
              <w:end w:w="85" w:type="dxa"/>
            </w:tcMar>
            <w:vAlign w:val="top"/>
          </w:tcPr>
          <w:p>
            <w:pPr>
              <w:spacing w:after="0"/>
            </w:pPr>
            <w:r>
              <w:rPr>
                <w:rFonts w:ascii="Arial" w:hAnsi="Arial"/>
                <w:color w:val="24313A"/>
                <w:sz w:val="16"/>
              </w:rPr>
              <w:t>Reproducible</w:t>
            </w:r>
          </w:p>
        </w:tc>
        <w:tc>
          <w:tcPr>
            <w:tcW w:type="dxa" w:w="7488"/>
            <w:tcMar>
              <w:top w:w="75" w:type="dxa"/>
              <w:start w:w="85" w:type="dxa"/>
              <w:bottom w:w="75" w:type="dxa"/>
              <w:end w:w="85" w:type="dxa"/>
            </w:tcMar>
            <w:vAlign w:val="top"/>
          </w:tcPr>
          <w:p>
            <w:pPr>
              <w:spacing w:after="0"/>
            </w:pPr>
            <w:r>
              <w:rPr>
                <w:rFonts w:ascii="Arial" w:hAnsi="Arial"/>
                <w:color w:val="24313A"/>
                <w:sz w:val="16"/>
              </w:rPr>
              <w:t>Immutable source snapshots and versioned code/data/models recreate any published report.</w:t>
            </w:r>
          </w:p>
        </w:tc>
      </w:tr>
      <w:tr>
        <w:trPr>
          <w:cantSplit/>
        </w:trPr>
        <w:tc>
          <w:tcPr>
            <w:tcW w:type="dxa" w:w="2016"/>
            <w:shd w:fill="F7F9FA"/>
            <w:tcMar>
              <w:top w:w="75" w:type="dxa"/>
              <w:start w:w="85" w:type="dxa"/>
              <w:bottom w:w="75" w:type="dxa"/>
              <w:end w:w="85" w:type="dxa"/>
            </w:tcMar>
            <w:vAlign w:val="top"/>
          </w:tcPr>
          <w:p>
            <w:pPr>
              <w:spacing w:after="0"/>
            </w:pPr>
            <w:r>
              <w:rPr>
                <w:rFonts w:ascii="Arial" w:hAnsi="Arial"/>
                <w:color w:val="24313A"/>
                <w:sz w:val="16"/>
              </w:rPr>
              <w:t>Explainable</w:t>
            </w:r>
          </w:p>
        </w:tc>
        <w:tc>
          <w:tcPr>
            <w:tcW w:type="dxa" w:w="7488"/>
            <w:shd w:fill="F7F9FA"/>
            <w:tcMar>
              <w:top w:w="75" w:type="dxa"/>
              <w:start w:w="85" w:type="dxa"/>
              <w:bottom w:w="75" w:type="dxa"/>
              <w:end w:w="85" w:type="dxa"/>
            </w:tcMar>
            <w:vAlign w:val="top"/>
          </w:tcPr>
          <w:p>
            <w:pPr>
              <w:spacing w:after="0"/>
            </w:pPr>
            <w:r>
              <w:rPr>
                <w:rFonts w:ascii="Arial" w:hAnsi="Arial"/>
                <w:color w:val="24313A"/>
                <w:sz w:val="16"/>
              </w:rPr>
              <w:t>Every finding has a machine-readable evidence graph and a human-readable trace.</w:t>
            </w:r>
          </w:p>
        </w:tc>
      </w:tr>
      <w:tr>
        <w:trPr>
          <w:cantSplit/>
        </w:trPr>
        <w:tc>
          <w:tcPr>
            <w:tcW w:type="dxa" w:w="2016"/>
            <w:tcMar>
              <w:top w:w="75" w:type="dxa"/>
              <w:start w:w="85" w:type="dxa"/>
              <w:bottom w:w="75" w:type="dxa"/>
              <w:end w:w="85" w:type="dxa"/>
            </w:tcMar>
            <w:vAlign w:val="top"/>
          </w:tcPr>
          <w:p>
            <w:pPr>
              <w:spacing w:after="0"/>
            </w:pPr>
            <w:r>
              <w:rPr>
                <w:rFonts w:ascii="Arial" w:hAnsi="Arial"/>
                <w:color w:val="24313A"/>
                <w:sz w:val="16"/>
              </w:rPr>
              <w:t>Modular</w:t>
            </w:r>
          </w:p>
        </w:tc>
        <w:tc>
          <w:tcPr>
            <w:tcW w:type="dxa" w:w="7488"/>
            <w:tcMar>
              <w:top w:w="75" w:type="dxa"/>
              <w:start w:w="85" w:type="dxa"/>
              <w:bottom w:w="75" w:type="dxa"/>
              <w:end w:w="85" w:type="dxa"/>
            </w:tcMar>
            <w:vAlign w:val="top"/>
          </w:tcPr>
          <w:p>
            <w:pPr>
              <w:spacing w:after="0"/>
            </w:pPr>
            <w:r>
              <w:rPr>
                <w:rFonts w:ascii="Arial" w:hAnsi="Arial"/>
                <w:color w:val="24313A"/>
                <w:sz w:val="16"/>
              </w:rPr>
              <w:t>Legislative parsing, tax models, benefit modules, flags, and user experiences evolve independently.</w:t>
            </w:r>
          </w:p>
        </w:tc>
      </w:tr>
      <w:tr>
        <w:trPr>
          <w:cantSplit/>
        </w:trPr>
        <w:tc>
          <w:tcPr>
            <w:tcW w:type="dxa" w:w="2016"/>
            <w:shd w:fill="F7F9FA"/>
            <w:tcMar>
              <w:top w:w="75" w:type="dxa"/>
              <w:start w:w="85" w:type="dxa"/>
              <w:bottom w:w="75" w:type="dxa"/>
              <w:end w:w="85" w:type="dxa"/>
            </w:tcMar>
            <w:vAlign w:val="top"/>
          </w:tcPr>
          <w:p>
            <w:pPr>
              <w:spacing w:after="0"/>
            </w:pPr>
            <w:r>
              <w:rPr>
                <w:rFonts w:ascii="Arial" w:hAnsi="Arial"/>
                <w:color w:val="24313A"/>
                <w:sz w:val="16"/>
              </w:rPr>
              <w:t>Event driven</w:t>
            </w:r>
          </w:p>
        </w:tc>
        <w:tc>
          <w:tcPr>
            <w:tcW w:type="dxa" w:w="7488"/>
            <w:shd w:fill="F7F9FA"/>
            <w:tcMar>
              <w:top w:w="75" w:type="dxa"/>
              <w:start w:w="85" w:type="dxa"/>
              <w:bottom w:w="75" w:type="dxa"/>
              <w:end w:w="85" w:type="dxa"/>
            </w:tcMar>
            <w:vAlign w:val="top"/>
          </w:tcPr>
          <w:p>
            <w:pPr>
              <w:spacing w:after="0"/>
            </w:pPr>
            <w:r>
              <w:rPr>
                <w:rFonts w:ascii="Arial" w:hAnsi="Arial"/>
                <w:color w:val="24313A"/>
                <w:sz w:val="16"/>
              </w:rPr>
              <w:t>New bill versions, scores, rules, or data releases trigger targeted reanalysis.</w:t>
            </w:r>
          </w:p>
        </w:tc>
      </w:tr>
      <w:tr>
        <w:trPr>
          <w:cantSplit/>
        </w:trPr>
        <w:tc>
          <w:tcPr>
            <w:tcW w:type="dxa" w:w="2016"/>
            <w:tcMar>
              <w:top w:w="75" w:type="dxa"/>
              <w:start w:w="85" w:type="dxa"/>
              <w:bottom w:w="75" w:type="dxa"/>
              <w:end w:w="85" w:type="dxa"/>
            </w:tcMar>
            <w:vAlign w:val="top"/>
          </w:tcPr>
          <w:p>
            <w:pPr>
              <w:spacing w:after="0"/>
            </w:pPr>
            <w:r>
              <w:rPr>
                <w:rFonts w:ascii="Arial" w:hAnsi="Arial"/>
                <w:color w:val="24313A"/>
                <w:sz w:val="16"/>
              </w:rPr>
              <w:t>Idempotent</w:t>
            </w:r>
          </w:p>
        </w:tc>
        <w:tc>
          <w:tcPr>
            <w:tcW w:type="dxa" w:w="7488"/>
            <w:tcMar>
              <w:top w:w="75" w:type="dxa"/>
              <w:start w:w="85" w:type="dxa"/>
              <w:bottom w:w="75" w:type="dxa"/>
              <w:end w:w="85" w:type="dxa"/>
            </w:tcMar>
            <w:vAlign w:val="top"/>
          </w:tcPr>
          <w:p>
            <w:pPr>
              <w:spacing w:after="0"/>
            </w:pPr>
            <w:r>
              <w:rPr>
                <w:rFonts w:ascii="Arial" w:hAnsi="Arial"/>
                <w:color w:val="24313A"/>
                <w:sz w:val="16"/>
              </w:rPr>
              <w:t>Repeated ingestion or processing does not create conflicting duplicates.</w:t>
            </w:r>
          </w:p>
        </w:tc>
      </w:tr>
      <w:tr>
        <w:trPr>
          <w:cantSplit/>
        </w:trPr>
        <w:tc>
          <w:tcPr>
            <w:tcW w:type="dxa" w:w="2016"/>
            <w:shd w:fill="F7F9FA"/>
            <w:tcMar>
              <w:top w:w="75" w:type="dxa"/>
              <w:start w:w="85" w:type="dxa"/>
              <w:bottom w:w="75" w:type="dxa"/>
              <w:end w:w="85" w:type="dxa"/>
            </w:tcMar>
            <w:vAlign w:val="top"/>
          </w:tcPr>
          <w:p>
            <w:pPr>
              <w:spacing w:after="0"/>
            </w:pPr>
            <w:r>
              <w:rPr>
                <w:rFonts w:ascii="Arial" w:hAnsi="Arial"/>
                <w:color w:val="24313A"/>
                <w:sz w:val="16"/>
              </w:rPr>
              <w:t>Observable</w:t>
            </w:r>
          </w:p>
        </w:tc>
        <w:tc>
          <w:tcPr>
            <w:tcW w:type="dxa" w:w="7488"/>
            <w:shd w:fill="F7F9FA"/>
            <w:tcMar>
              <w:top w:w="75" w:type="dxa"/>
              <w:start w:w="85" w:type="dxa"/>
              <w:bottom w:w="75" w:type="dxa"/>
              <w:end w:w="85" w:type="dxa"/>
            </w:tcMar>
            <w:vAlign w:val="top"/>
          </w:tcPr>
          <w:p>
            <w:pPr>
              <w:spacing w:after="0"/>
            </w:pPr>
            <w:r>
              <w:rPr>
                <w:rFonts w:ascii="Arial" w:hAnsi="Arial"/>
                <w:color w:val="24313A"/>
                <w:sz w:val="16"/>
              </w:rPr>
              <w:t>Pipeline state, source freshness, model runs, review queues, and publication status are monitored.</w:t>
            </w:r>
          </w:p>
        </w:tc>
      </w:tr>
      <w:tr>
        <w:trPr>
          <w:cantSplit/>
        </w:trPr>
        <w:tc>
          <w:tcPr>
            <w:tcW w:type="dxa" w:w="2016"/>
            <w:tcMar>
              <w:top w:w="75" w:type="dxa"/>
              <w:start w:w="85" w:type="dxa"/>
              <w:bottom w:w="75" w:type="dxa"/>
              <w:end w:w="85" w:type="dxa"/>
            </w:tcMar>
            <w:vAlign w:val="top"/>
          </w:tcPr>
          <w:p>
            <w:pPr>
              <w:spacing w:after="0"/>
            </w:pPr>
            <w:r>
              <w:rPr>
                <w:rFonts w:ascii="Arial" w:hAnsi="Arial"/>
                <w:color w:val="24313A"/>
                <w:sz w:val="16"/>
              </w:rPr>
              <w:t>Secure by default</w:t>
            </w:r>
          </w:p>
        </w:tc>
        <w:tc>
          <w:tcPr>
            <w:tcW w:type="dxa" w:w="7488"/>
            <w:tcMar>
              <w:top w:w="75" w:type="dxa"/>
              <w:start w:w="85" w:type="dxa"/>
              <w:bottom w:w="75" w:type="dxa"/>
              <w:end w:w="85" w:type="dxa"/>
            </w:tcMar>
            <w:vAlign w:val="top"/>
          </w:tcPr>
          <w:p>
            <w:pPr>
              <w:spacing w:after="0"/>
            </w:pPr>
            <w:r>
              <w:rPr>
                <w:rFonts w:ascii="Arial" w:hAnsi="Arial"/>
                <w:color w:val="24313A"/>
                <w:sz w:val="16"/>
              </w:rPr>
              <w:t>Least privilege, signed builds, isolated analysis jobs, secret management, and tamper-evident audit logs.</w:t>
            </w:r>
          </w:p>
        </w:tc>
      </w:tr>
      <w:tr>
        <w:trPr>
          <w:cantSplit/>
        </w:trPr>
        <w:tc>
          <w:tcPr>
            <w:tcW w:type="dxa" w:w="2016"/>
            <w:shd w:fill="F7F9FA"/>
            <w:tcMar>
              <w:top w:w="75" w:type="dxa"/>
              <w:start w:w="85" w:type="dxa"/>
              <w:bottom w:w="75" w:type="dxa"/>
              <w:end w:w="85" w:type="dxa"/>
            </w:tcMar>
            <w:vAlign w:val="top"/>
          </w:tcPr>
          <w:p>
            <w:pPr>
              <w:spacing w:after="0"/>
            </w:pPr>
            <w:r>
              <w:rPr>
                <w:rFonts w:ascii="Arial" w:hAnsi="Arial"/>
                <w:color w:val="24313A"/>
                <w:sz w:val="16"/>
              </w:rPr>
              <w:t>Open at the boundary</w:t>
            </w:r>
          </w:p>
        </w:tc>
        <w:tc>
          <w:tcPr>
            <w:tcW w:type="dxa" w:w="7488"/>
            <w:shd w:fill="F7F9FA"/>
            <w:tcMar>
              <w:top w:w="75" w:type="dxa"/>
              <w:start w:w="85" w:type="dxa"/>
              <w:bottom w:w="75" w:type="dxa"/>
              <w:end w:w="85" w:type="dxa"/>
            </w:tcMar>
            <w:vAlign w:val="top"/>
          </w:tcPr>
          <w:p>
            <w:pPr>
              <w:spacing w:after="0"/>
            </w:pPr>
            <w:r>
              <w:rPr>
                <w:rFonts w:ascii="Arial" w:hAnsi="Arial"/>
                <w:color w:val="24313A"/>
                <w:sz w:val="16"/>
              </w:rPr>
              <w:t>Public schemas and exports reduce dependence on the platform and invite verification.</w:t>
            </w:r>
          </w:p>
        </w:tc>
      </w:tr>
      <w:tr>
        <w:trPr>
          <w:cantSplit/>
        </w:trPr>
        <w:tc>
          <w:tcPr>
            <w:tcW w:type="dxa" w:w="2016"/>
            <w:shd w:fill="F7F9FA"/>
            <w:tcMar>
              <w:top w:w="75" w:type="dxa"/>
              <w:start w:w="85" w:type="dxa"/>
              <w:bottom w:w="75" w:type="dxa"/>
              <w:end w:w="85" w:type="dxa"/>
            </w:tcMar>
            <w:vAlign w:val="top"/>
          </w:tcPr>
          <w:p>
            <w:pPr>
              <w:spacing w:after="0"/>
            </w:pPr>
            <w:r>
              <w:rPr>
                <w:rFonts w:ascii="Arial" w:hAnsi="Arial"/>
                <w:color w:val="24313A"/>
                <w:sz w:val="16"/>
              </w:rPr>
              <w:t>Inspectable automation</w:t>
            </w:r>
          </w:p>
        </w:tc>
        <w:tc>
          <w:tcPr>
            <w:tcW w:type="dxa" w:w="7488"/>
            <w:shd w:fill="F7F9FA"/>
            <w:tcMar>
              <w:top w:w="75" w:type="dxa"/>
              <w:start w:w="85" w:type="dxa"/>
              <w:bottom w:w="75" w:type="dxa"/>
              <w:end w:w="85" w:type="dxa"/>
            </w:tcMar>
            <w:vAlign w:val="top"/>
          </w:tcPr>
          <w:p>
            <w:pPr>
              <w:spacing w:after="0"/>
            </w:pPr>
            <w:r>
              <w:rPr>
                <w:rFonts w:ascii="Arial" w:hAnsi="Arial"/>
                <w:color w:val="24313A"/>
                <w:sz w:val="16"/>
              </w:rPr>
              <w:t>Every automated decision, validation, risk score, publication state, and correction is queryable and reproducible.</w:t>
            </w:r>
          </w:p>
        </w:tc>
      </w:tr>
    </w:tbl>
    <w:p>
      <w:pPr>
        <w:pStyle w:val="Heading2"/>
      </w:pPr>
      <w:r>
        <w:t>11.2 Recommended logical components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232"/>
            <w:shd w:fill="17324D"/>
            <w:tcMar>
              <w:top w:w="90" w:type="dxa"/>
              <w:start w:w="90" w:type="dxa"/>
              <w:bottom w:w="90" w:type="dxa"/>
              <w:end w:w="90" w:type="dxa"/>
            </w:tcMar>
            <w:vAlign w:val="center"/>
          </w:tcPr>
          <w:p>
            <w:pPr>
              <w:jc w:val="left"/>
            </w:pPr>
            <w:r>
              <w:rPr>
                <w:rFonts w:ascii="Arial" w:hAnsi="Arial"/>
                <w:b/>
                <w:color w:val="FFFFFF"/>
                <w:sz w:val="16"/>
              </w:rPr>
              <w:t>Component</w:t>
            </w:r>
          </w:p>
        </w:tc>
        <w:tc>
          <w:tcPr>
            <w:tcW w:type="dxa" w:w="7272"/>
            <w:shd w:fill="17324D"/>
            <w:tcMar>
              <w:top w:w="90" w:type="dxa"/>
              <w:start w:w="90" w:type="dxa"/>
              <w:bottom w:w="90" w:type="dxa"/>
              <w:end w:w="90" w:type="dxa"/>
            </w:tcMar>
            <w:vAlign w:val="center"/>
          </w:tcPr>
          <w:p>
            <w:pPr>
              <w:jc w:val="left"/>
            </w:pPr>
            <w:r>
              <w:rPr>
                <w:rFonts w:ascii="Arial" w:hAnsi="Arial"/>
                <w:b/>
                <w:color w:val="FFFFFF"/>
                <w:sz w:val="16"/>
              </w:rPr>
              <w:t>Responsibility</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Source connectors</w:t>
            </w:r>
          </w:p>
        </w:tc>
        <w:tc>
          <w:tcPr>
            <w:tcW w:type="dxa" w:w="7272"/>
            <w:tcMar>
              <w:top w:w="75" w:type="dxa"/>
              <w:start w:w="85" w:type="dxa"/>
              <w:bottom w:w="75" w:type="dxa"/>
              <w:end w:w="85" w:type="dxa"/>
            </w:tcMar>
            <w:vAlign w:val="top"/>
          </w:tcPr>
          <w:p>
            <w:pPr>
              <w:spacing w:after="0"/>
            </w:pPr>
            <w:r>
              <w:rPr>
                <w:rFonts w:ascii="Arial" w:hAnsi="Arial"/>
                <w:color w:val="24313A"/>
                <w:sz w:val="15"/>
              </w:rPr>
              <w:t>Congress, GovInfo, CBO/JCT, IRS/Census, Federal Register, spending, disclosure, and agency-specific collectors.</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Document registry</w:t>
            </w:r>
          </w:p>
        </w:tc>
        <w:tc>
          <w:tcPr>
            <w:tcW w:type="dxa" w:w="7272"/>
            <w:shd w:fill="F7F9FA"/>
            <w:tcMar>
              <w:top w:w="75" w:type="dxa"/>
              <w:start w:w="85" w:type="dxa"/>
              <w:bottom w:w="75" w:type="dxa"/>
              <w:end w:w="85" w:type="dxa"/>
            </w:tcMar>
            <w:vAlign w:val="top"/>
          </w:tcPr>
          <w:p>
            <w:pPr>
              <w:spacing w:after="0"/>
            </w:pPr>
            <w:r>
              <w:rPr>
                <w:rFonts w:ascii="Arial" w:hAnsi="Arial"/>
                <w:color w:val="24313A"/>
                <w:sz w:val="15"/>
              </w:rPr>
              <w:t>Immutable objects, hashes, metadata, text renditions, schema status, and source relationships.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Legislative normalizer</w:t>
            </w:r>
          </w:p>
        </w:tc>
        <w:tc>
          <w:tcPr>
            <w:tcW w:type="dxa" w:w="7272"/>
            <w:tcMar>
              <w:top w:w="75" w:type="dxa"/>
              <w:start w:w="85" w:type="dxa"/>
              <w:bottom w:w="75" w:type="dxa"/>
              <w:end w:w="85" w:type="dxa"/>
            </w:tcMar>
            <w:vAlign w:val="top"/>
          </w:tcPr>
          <w:p>
            <w:r>
              <w:t>Canonical USLM/XML-aware hierarchy for titles, sections, paragraphs, tables, definitions, citations, version labels, and supported deterministic amendment operations.</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Comparison engine</w:t>
            </w:r>
          </w:p>
        </w:tc>
        <w:tc>
          <w:tcPr>
            <w:tcW w:type="dxa" w:w="7272"/>
            <w:shd w:fill="F7F9FA"/>
            <w:tcMar>
              <w:top w:w="75" w:type="dxa"/>
              <w:start w:w="85" w:type="dxa"/>
              <w:bottom w:w="75" w:type="dxa"/>
              <w:end w:w="85" w:type="dxa"/>
            </w:tcMar>
            <w:vAlign w:val="top"/>
          </w:tcPr>
          <w:p>
            <w:r>
              <w:t>Structural and semantic matching; moved-text detection; candidate legal-rule diff; deterministic operation application; round-trip validation; confidence and unresolved-state handling.</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Provision workbench</w:t>
            </w:r>
          </w:p>
        </w:tc>
        <w:tc>
          <w:tcPr>
            <w:tcW w:type="dxa" w:w="7272"/>
            <w:tcMar>
              <w:top w:w="75" w:type="dxa"/>
              <w:start w:w="85" w:type="dxa"/>
              <w:bottom w:w="75" w:type="dxa"/>
              <w:end w:w="85" w:type="dxa"/>
            </w:tcMar>
            <w:vAlign w:val="top"/>
          </w:tcPr>
          <w:p>
            <w:r>
              <w:t>AI-assisted candidate extraction, optional analyst editing, deterministic transformation trace, rule compilation, citations, maturity display, and exception review workflow.</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Policy rule registry</w:t>
            </w:r>
          </w:p>
        </w:tc>
        <w:tc>
          <w:tcPr>
            <w:tcW w:type="dxa" w:w="7272"/>
            <w:shd w:fill="F7F9FA"/>
            <w:tcMar>
              <w:top w:w="75" w:type="dxa"/>
              <w:start w:w="85" w:type="dxa"/>
              <w:bottom w:w="75" w:type="dxa"/>
              <w:end w:w="85" w:type="dxa"/>
            </w:tcMar>
            <w:vAlign w:val="top"/>
          </w:tcPr>
          <w:p>
            <w:pPr>
              <w:spacing w:after="0"/>
            </w:pPr>
            <w:r>
              <w:rPr>
                <w:rFonts w:ascii="Arial" w:hAnsi="Arial"/>
                <w:color w:val="24313A"/>
                <w:sz w:val="15"/>
              </w:rPr>
              <w:t>Versioned executable rules, parameter tables, effective dates, dependencies, and tests.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Simulation orchestrator</w:t>
            </w:r>
          </w:p>
        </w:tc>
        <w:tc>
          <w:tcPr>
            <w:tcW w:type="dxa" w:w="7272"/>
            <w:tcMar>
              <w:top w:w="75" w:type="dxa"/>
              <w:start w:w="85" w:type="dxa"/>
              <w:bottom w:w="75" w:type="dxa"/>
              <w:end w:w="85" w:type="dxa"/>
            </w:tcMar>
            <w:vAlign w:val="top"/>
          </w:tcPr>
          <w:p>
            <w:pPr>
              <w:spacing w:after="0"/>
            </w:pPr>
            <w:r>
              <w:rPr>
                <w:rFonts w:ascii="Arial" w:hAnsi="Arial"/>
                <w:color w:val="24313A"/>
                <w:sz w:val="15"/>
              </w:rPr>
              <w:t>Runs representative cases and microsimulation jobs in isolated, reproducible environments.</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Flag engine</w:t>
            </w:r>
          </w:p>
        </w:tc>
        <w:tc>
          <w:tcPr>
            <w:tcW w:type="dxa" w:w="7272"/>
            <w:shd w:fill="F7F9FA"/>
            <w:tcMar>
              <w:top w:w="75" w:type="dxa"/>
              <w:start w:w="85" w:type="dxa"/>
              <w:bottom w:w="75" w:type="dxa"/>
              <w:end w:w="85" w:type="dxa"/>
            </w:tcMar>
            <w:vAlign w:val="top"/>
          </w:tcPr>
          <w:p>
            <w:pPr>
              <w:spacing w:after="0"/>
            </w:pPr>
            <w:r>
              <w:rPr>
                <w:rFonts w:ascii="Arial" w:hAnsi="Arial"/>
                <w:color w:val="24313A"/>
                <w:sz w:val="15"/>
              </w:rPr>
              <w:t>Deterministic rules, statistical anomaly detectors, entity resolution, and review queues.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Evidence graph</w:t>
            </w:r>
          </w:p>
        </w:tc>
        <w:tc>
          <w:tcPr>
            <w:tcW w:type="dxa" w:w="7272"/>
            <w:tcMar>
              <w:top w:w="75" w:type="dxa"/>
              <w:start w:w="85" w:type="dxa"/>
              <w:bottom w:w="75" w:type="dxa"/>
              <w:end w:w="85" w:type="dxa"/>
            </w:tcMar>
            <w:vAlign w:val="top"/>
          </w:tcPr>
          <w:p>
            <w:pPr>
              <w:spacing w:after="0"/>
            </w:pPr>
            <w:r>
              <w:rPr>
                <w:rFonts w:ascii="Arial" w:hAnsi="Arial"/>
                <w:color w:val="24313A"/>
                <w:sz w:val="15"/>
              </w:rPr>
              <w:t>Connects documents, provisions, code sections, programs, entities, estimates, models, reviewers, and findings.</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Report composer</w:t>
            </w:r>
          </w:p>
        </w:tc>
        <w:tc>
          <w:tcPr>
            <w:tcW w:type="dxa" w:w="7272"/>
            <w:shd w:fill="F7F9FA"/>
            <w:tcMar>
              <w:top w:w="75" w:type="dxa"/>
              <w:start w:w="85" w:type="dxa"/>
              <w:bottom w:w="75" w:type="dxa"/>
              <w:end w:w="85" w:type="dxa"/>
            </w:tcMar>
            <w:vAlign w:val="top"/>
          </w:tcPr>
          <w:p>
            <w:pPr>
              <w:spacing w:after="0"/>
            </w:pPr>
            <w:r>
              <w:rPr>
                <w:rFonts w:ascii="Arial" w:hAnsi="Arial"/>
                <w:color w:val="24313A"/>
                <w:sz w:val="15"/>
              </w:rPr>
              <w:t>Builds factual, provisional, and verified web reports, PDFs, perspective comparisons, data exports, and correction notices from structured records.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Public API/search</w:t>
            </w:r>
          </w:p>
        </w:tc>
        <w:tc>
          <w:tcPr>
            <w:tcW w:type="dxa" w:w="7272"/>
            <w:tcMar>
              <w:top w:w="75" w:type="dxa"/>
              <w:start w:w="85" w:type="dxa"/>
              <w:bottom w:w="75" w:type="dxa"/>
              <w:end w:w="85" w:type="dxa"/>
            </w:tcMar>
            <w:vAlign w:val="top"/>
          </w:tcPr>
          <w:p>
            <w:pPr>
              <w:spacing w:after="0"/>
            </w:pPr>
            <w:r>
              <w:rPr>
                <w:rFonts w:ascii="Arial" w:hAnsi="Arial"/>
                <w:color w:val="24313A"/>
                <w:sz w:val="15"/>
              </w:rPr>
              <w:t>Search, filters, watchlists, data downloads, and question answering grounded in published evidence.</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Trust operations</w:t>
            </w:r>
          </w:p>
        </w:tc>
        <w:tc>
          <w:tcPr>
            <w:tcW w:type="dxa" w:w="7272"/>
            <w:shd w:fill="F7F9FA"/>
            <w:tcMar>
              <w:top w:w="75" w:type="dxa"/>
              <w:start w:w="85" w:type="dxa"/>
              <w:bottom w:w="75" w:type="dxa"/>
              <w:end w:w="85" w:type="dxa"/>
            </w:tcMar>
            <w:vAlign w:val="top"/>
          </w:tcPr>
          <w:p>
            <w:pPr>
              <w:spacing w:after="0"/>
            </w:pPr>
            <w:r>
              <w:rPr>
                <w:rFonts w:ascii="Arial" w:hAnsi="Arial"/>
                <w:color w:val="24313A"/>
                <w:sz w:val="15"/>
              </w:rPr>
              <w:t>Identity/access, audit, signatures, provenance, monitoring, backups, retention, and incident response.</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AI decision and risk service</w:t>
            </w:r>
          </w:p>
        </w:tc>
        <w:tc>
          <w:tcPr>
            <w:tcW w:type="dxa" w:w="7272"/>
            <w:shd w:fill="F7F9FA"/>
            <w:tcMar>
              <w:top w:w="75" w:type="dxa"/>
              <w:start w:w="85" w:type="dxa"/>
              <w:bottom w:w="75" w:type="dxa"/>
              <w:end w:w="85" w:type="dxa"/>
            </w:tcMar>
            <w:vAlign w:val="top"/>
          </w:tcPr>
          <w:p>
            <w:pPr>
              <w:spacing w:after="0"/>
            </w:pPr>
            <w:r>
              <w:rPr>
                <w:rFonts w:ascii="Arial" w:hAnsi="Arial"/>
                <w:color w:val="24313A"/>
                <w:sz w:val="15"/>
              </w:rPr>
              <w:t>Writes the decision ledger, compares agent outputs, runs escalation policy, assigns maturity, and manages sampled or triggered review.</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Perspective engine</w:t>
            </w:r>
          </w:p>
        </w:tc>
        <w:tc>
          <w:tcPr>
            <w:tcW w:type="dxa" w:w="7272"/>
            <w:shd w:fill="F7F9FA"/>
            <w:tcMar>
              <w:top w:w="75" w:type="dxa"/>
              <w:start w:w="85" w:type="dxa"/>
              <w:bottom w:w="75" w:type="dxa"/>
              <w:end w:w="85" w:type="dxa"/>
            </w:tcMar>
            <w:vAlign w:val="top"/>
          </w:tcPr>
          <w:p>
            <w:r>
              <w:t>Applies versioned value and interpretation profiles to invariant evidence and governed model-scenario outputs; cannot modify scenario parameters.</w:t>
            </w:r>
          </w:p>
        </w:tc>
      </w:tr>
      <w:tr>
        <w:tc>
          <w:tcPr>
            <w:tcW w:type="dxa" w:w="4939"/>
          </w:tcPr>
          <w:p>
            <w:r>
              <w:t>Browser-local impact calculator</w:t>
            </w:r>
          </w:p>
        </w:tc>
        <w:tc>
          <w:tcPr>
            <w:tcW w:type="dxa" w:w="4939"/>
          </w:tcPr>
          <w:p>
            <w:r>
              <w:t>Executes POC custom-household rules and calculations on the user’s device; prohibits input transmission and supports clear local-data deletion and egress testing.</w:t>
            </w:r>
          </w:p>
        </w:tc>
      </w:tr>
    </w:tbl>
    <w:p>
      <w:pPr>
        <w:pStyle w:val="Heading2"/>
      </w:pPr>
      <w:r>
        <w:t>11.3 Reference technology profile</w:t>
      </w:r>
    </w:p>
    <w:p>
      <w:pPr>
        <w:spacing w:after="120" w:line="259" w:lineRule="auto"/>
      </w:pPr>
      <w:r>
        <w:rPr>
          <w:rFonts w:ascii="Arial" w:hAnsi="Arial"/>
          <w:color w:val="24313A"/>
          <w:sz w:val="19"/>
        </w:rPr>
        <w:t>The foundation should remain technology-neutral, but an initial open-source implementation could use a web application framework, Python services for policy modeling, a relational database for authoritative records, object storage for immutable documents and run artifacts, a search/vector index for retrieval, a workflow engine or queue for analysis jobs, and containerized reproducible builds. A graph database is optional; the evidence graph can begin in relational tables and materialized views.</w:t>
      </w:r>
    </w:p>
    <w:tbl>
      <w:tblPr>
        <w:tblW w:type="auto" w:w="0"/>
        <w:jc w:val="center"/>
        <w:tblLayout w:type="fixed"/>
        <w:tblLook w:firstColumn="1" w:firstRow="1" w:lastColumn="0" w:lastRow="0" w:noHBand="0" w:noVBand="1" w:val="04A0"/>
        <w:tblBorders>
          <w:top w:val="single" w:sz="10" w:space="0" w:color="697784"/>
          <w:left w:val="single" w:sz="10" w:space="0" w:color="697784"/>
          <w:bottom w:val="single" w:sz="10" w:space="0" w:color="697784"/>
          <w:right w:val="single" w:sz="10" w:space="0" w:color="697784"/>
          <w:insideH w:val="single" w:sz="10" w:space="0" w:color="697784"/>
          <w:insideV w:val="single" w:sz="10" w:space="0" w:color="697784"/>
        </w:tblBorders>
      </w:tblPr>
      <w:tblGrid>
        <w:gridCol w:w="9504"/>
      </w:tblGrid>
      <w:tr>
        <w:trPr>
          <w:cantSplit/>
          <w:tblHeader w:val="true"/>
        </w:trPr>
        <w:tc>
          <w:tcPr>
            <w:tcW w:type="dxa" w:w="9878"/>
            <w:shd w:fill="F3F5F7"/>
            <w:tcMar>
              <w:top w:w="130" w:type="dxa"/>
              <w:start w:w="170" w:type="dxa"/>
              <w:bottom w:w="130" w:type="dxa"/>
              <w:end w:w="170" w:type="dxa"/>
            </w:tcMar>
          </w:tcPr>
          <w:p>
            <w:pPr>
              <w:spacing w:after="80"/>
            </w:pPr>
            <w:r>
              <w:rPr>
                <w:rFonts w:ascii="Arial" w:hAnsi="Arial"/>
                <w:b/>
                <w:color w:val="697784"/>
                <w:sz w:val="22"/>
              </w:rPr>
              <w:t>Avoid premature microservices</w:t>
            </w:r>
          </w:p>
          <w:p>
            <w:pPr>
              <w:spacing w:after="0"/>
            </w:pPr>
            <w:r>
              <w:rPr>
                <w:rFonts w:ascii="Arial" w:hAnsi="Arial"/>
                <w:color w:val="24313A"/>
                <w:sz w:val="19"/>
              </w:rPr>
              <w:t>Start with a modular monolith plus isolated analysis workers unless scale or organizational boundaries require separate services. The trust model, schemas, and release controls matter more than service count.</w:t>
            </w:r>
          </w:p>
        </w:tc>
      </w:tr>
    </w:tbl>
    <w:p>
      <w:bookmarkStart w:id="120" w:name="data_model"/>
      <w:pPr>
        <w:pStyle w:val="Heading1"/>
      </w:pPr>
      <w:r>
        <w:t>12. Data model and APIs</w:t>
      </w:r>
      <w:bookmarkEnd w:id="120"/>
    </w:p>
    <w:p>
      <w:pPr>
        <w:pStyle w:val="Heading2"/>
      </w:pPr>
      <w:r>
        <w:t>12.1 Core entities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448"/>
            <w:shd w:fill="17324D"/>
            <w:tcMar>
              <w:top w:w="90" w:type="dxa"/>
              <w:start w:w="90" w:type="dxa"/>
              <w:bottom w:w="90" w:type="dxa"/>
              <w:end w:w="90" w:type="dxa"/>
            </w:tcMar>
            <w:vAlign w:val="center"/>
          </w:tcPr>
          <w:p>
            <w:pPr>
              <w:jc w:val="left"/>
            </w:pPr>
            <w:r>
              <w:rPr>
                <w:rFonts w:ascii="Arial" w:hAnsi="Arial"/>
                <w:b/>
                <w:color w:val="FFFFFF"/>
                <w:sz w:val="16"/>
              </w:rPr>
              <w:t>Entity</w:t>
            </w:r>
          </w:p>
        </w:tc>
        <w:tc>
          <w:tcPr>
            <w:tcW w:type="dxa" w:w="7056"/>
            <w:shd w:fill="17324D"/>
            <w:tcMar>
              <w:top w:w="90" w:type="dxa"/>
              <w:start w:w="90" w:type="dxa"/>
              <w:bottom w:w="90" w:type="dxa"/>
              <w:end w:w="90" w:type="dxa"/>
            </w:tcMar>
            <w:vAlign w:val="center"/>
          </w:tcPr>
          <w:p>
            <w:pPr>
              <w:jc w:val="left"/>
            </w:pPr>
            <w:r>
              <w:rPr>
                <w:rFonts w:ascii="Arial" w:hAnsi="Arial"/>
                <w:b/>
                <w:color w:val="FFFFFF"/>
                <w:sz w:val="16"/>
              </w:rPr>
              <w:t>Purpose</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LegislativeMeasure</w:t>
            </w:r>
          </w:p>
        </w:tc>
        <w:tc>
          <w:tcPr>
            <w:tcW w:type="dxa" w:w="7056"/>
            <w:tcMar>
              <w:top w:w="75" w:type="dxa"/>
              <w:start w:w="85" w:type="dxa"/>
              <w:bottom w:w="75" w:type="dxa"/>
              <w:end w:w="85" w:type="dxa"/>
            </w:tcMar>
            <w:vAlign w:val="top"/>
          </w:tcPr>
          <w:p>
            <w:pPr>
              <w:spacing w:after="0"/>
            </w:pPr>
            <w:r>
              <w:rPr>
                <w:rFonts w:ascii="Arial" w:hAnsi="Arial"/>
                <w:color w:val="24313A"/>
                <w:sz w:val="15"/>
              </w:rPr>
              <w:t>Congress, type, number, title, sponsors, subjects, committees, status.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DocumentVersion</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Official version code, source, publication time, content hashes, renditions.</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DocumentNode</w:t>
            </w:r>
          </w:p>
        </w:tc>
        <w:tc>
          <w:tcPr>
            <w:tcW w:type="dxa" w:w="7056"/>
            <w:tcMar>
              <w:top w:w="75" w:type="dxa"/>
              <w:start w:w="85" w:type="dxa"/>
              <w:bottom w:w="75" w:type="dxa"/>
              <w:end w:w="85" w:type="dxa"/>
            </w:tcMar>
            <w:vAlign w:val="top"/>
          </w:tcPr>
          <w:p>
            <w:pPr>
              <w:spacing w:after="0"/>
            </w:pPr>
            <w:r>
              <w:rPr>
                <w:rFonts w:ascii="Arial" w:hAnsi="Arial"/>
                <w:color w:val="24313A"/>
                <w:sz w:val="15"/>
              </w:rPr>
              <w:t>Title/section/paragraph/table/definition hierarchy and stable spans.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ChangeSet</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Comparison pair, node matches, text/rule changes, confidence and materiality.</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Provision</w:t>
            </w:r>
          </w:p>
        </w:tc>
        <w:tc>
          <w:tcPr>
            <w:tcW w:type="dxa" w:w="7056"/>
            <w:tcMar>
              <w:top w:w="75" w:type="dxa"/>
              <w:start w:w="85" w:type="dxa"/>
              <w:bottom w:w="75" w:type="dxa"/>
              <w:end w:w="85" w:type="dxa"/>
            </w:tcMar>
            <w:vAlign w:val="top"/>
          </w:tcPr>
          <w:p>
            <w:pPr>
              <w:spacing w:after="0"/>
            </w:pPr>
            <w:r>
              <w:rPr>
                <w:rFonts w:ascii="Arial" w:hAnsi="Arial"/>
                <w:color w:val="24313A"/>
                <w:sz w:val="15"/>
              </w:rPr>
              <w:t>Structured legal change, eligibility, mechanisms, time, dependencies, affected citations.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PolicyRule</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Executable logic, parameters, source basis, effective range, owner, tests, model version.</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PopulationProfile</w:t>
            </w:r>
          </w:p>
        </w:tc>
        <w:tc>
          <w:tcPr>
            <w:tcW w:type="dxa" w:w="7056"/>
            <w:tcMar>
              <w:top w:w="75" w:type="dxa"/>
              <w:start w:w="85" w:type="dxa"/>
              <w:bottom w:w="75" w:type="dxa"/>
              <w:end w:w="85" w:type="dxa"/>
            </w:tcMar>
            <w:vAlign w:val="top"/>
          </w:tcPr>
          <w:p>
            <w:pPr>
              <w:spacing w:after="0"/>
            </w:pPr>
            <w:r>
              <w:rPr>
                <w:rFonts w:ascii="Arial" w:hAnsi="Arial"/>
                <w:color w:val="24313A"/>
                <w:sz w:val="15"/>
              </w:rPr>
              <w:t>Representative case or microdata population definition.</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AnalysisRun</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Inputs, code/data/model versions, environment, status, artifacts, reconciliations.</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ImpactResult</w:t>
            </w:r>
          </w:p>
        </w:tc>
        <w:tc>
          <w:tcPr>
            <w:tcW w:type="dxa" w:w="7056"/>
            <w:tcMar>
              <w:top w:w="75" w:type="dxa"/>
              <w:start w:w="85" w:type="dxa"/>
              <w:bottom w:w="75" w:type="dxa"/>
              <w:end w:w="85" w:type="dxa"/>
            </w:tcMar>
            <w:vAlign w:val="top"/>
          </w:tcPr>
          <w:p>
            <w:pPr>
              <w:spacing w:after="0"/>
            </w:pPr>
            <w:r>
              <w:rPr>
                <w:rFonts w:ascii="Arial" w:hAnsi="Arial"/>
                <w:color w:val="24313A"/>
                <w:sz w:val="15"/>
              </w:rPr>
              <w:t>Metric, subgroup, year, central/range, units, method, uncertainty, source/run.</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Flag</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Type, rule/model, evidence, threshold, confidence, review and disposition.</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Entity</w:t>
            </w:r>
          </w:p>
        </w:tc>
        <w:tc>
          <w:tcPr>
            <w:tcW w:type="dxa" w:w="7056"/>
            <w:tcMar>
              <w:top w:w="75" w:type="dxa"/>
              <w:start w:w="85" w:type="dxa"/>
              <w:bottom w:w="75" w:type="dxa"/>
              <w:end w:w="85" w:type="dxa"/>
            </w:tcMar>
            <w:vAlign w:val="top"/>
          </w:tcPr>
          <w:p>
            <w:pPr>
              <w:spacing w:after="0"/>
            </w:pPr>
            <w:r>
              <w:rPr>
                <w:rFonts w:ascii="Arial" w:hAnsi="Arial"/>
                <w:color w:val="24313A"/>
                <w:sz w:val="15"/>
              </w:rPr>
              <w:t>Person, organization, industry, program, place, agency, committee, or recipient.</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Relationship</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Sponsored, lobbied, received, regulates, qualifies, owns, contributed, implements, or affected-by.</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Finding</w:t>
            </w:r>
          </w:p>
        </w:tc>
        <w:tc>
          <w:tcPr>
            <w:tcW w:type="dxa" w:w="7056"/>
            <w:tcMar>
              <w:top w:w="75" w:type="dxa"/>
              <w:start w:w="85" w:type="dxa"/>
              <w:bottom w:w="75" w:type="dxa"/>
              <w:end w:w="85" w:type="dxa"/>
            </w:tcMar>
            <w:vAlign w:val="top"/>
          </w:tcPr>
          <w:p>
            <w:pPr>
              <w:spacing w:after="0"/>
            </w:pPr>
            <w:r>
              <w:rPr>
                <w:rFonts w:ascii="Arial" w:hAnsi="Arial"/>
                <w:color w:val="24313A"/>
                <w:sz w:val="15"/>
              </w:rPr>
              <w:t>Approved public conclusion linking evidence, estimates, flags, narrative, and reviewer.</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Correction</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Issue, affected publications, decision, replacement values/text, notice and timestamps.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AnalysisUnit</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One or more related provisions that must be interpreted or modeled together; preserves member provision source spans.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Baseline</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Stable baseline_id, as-of date, law/policy assumptions, economic projection, data vintage, years, and expiration treatment.</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AIDecision</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Model/prompt/source/input/output/validator/risk/publication/review/correction record for each material AI action.</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ValidationRun</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Validator versions, checks, results, tolerances, disagreement, invariant outcomes, and artifacts.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ReviewEvent</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Triggered or sampled review, reviewer role, disposition, rationale, corrections, and appeal state.</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PerspectiveProfile</w:t>
            </w:r>
          </w:p>
        </w:tc>
        <w:tc>
          <w:tcPr>
            <w:tcW w:type="dxa" w:w="7056"/>
            <w:shd w:fill="F7F9FA"/>
            <w:tcMar>
              <w:top w:w="75" w:type="dxa"/>
              <w:start w:w="85" w:type="dxa"/>
              <w:bottom w:w="75" w:type="dxa"/>
              <w:end w:w="85" w:type="dxa"/>
            </w:tcMar>
            <w:vAlign w:val="top"/>
          </w:tcPr>
          <w:p>
            <w:r>
              <w:t>Versioned value priorities, interpretive questions, reporting emphasis, sources, constraints, and limitations applied above invariant evidence and model scenarios.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PublicationState</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Claim- or result-level maturity, lane, effective time, supersession, and visible labeling.</w:t>
            </w:r>
          </w:p>
        </w:tc>
      </w:tr>
      <w:tr>
        <w:tc>
          <w:tcPr>
            <w:tcW w:type="dxa" w:w="4939"/>
          </w:tcPr>
          <w:p>
            <w:r>
              <w:t>ModelScenario</w:t>
            </w:r>
          </w:p>
        </w:tc>
        <w:tc>
          <w:tcPr>
            <w:tcW w:type="dxa" w:w="4939"/>
          </w:tcPr>
          <w:p>
            <w:r>
              <w:t>Methods-governed technical assumption set containing baseline, data vintage, horizon, incidence, behavioral response, discounting, financing, uncertainty, model version, and approval history.</w:t>
            </w:r>
          </w:p>
        </w:tc>
      </w:tr>
      <w:tr>
        <w:tc>
          <w:tcPr>
            <w:tcW w:type="dxa" w:w="4939"/>
          </w:tcPr>
          <w:p>
            <w:r>
              <w:t>StatutoryTransformation</w:t>
            </w:r>
          </w:p>
        </w:tc>
        <w:tc>
          <w:tcPr>
            <w:tcW w:type="dxa" w:w="4939"/>
          </w:tcPr>
          <w:p>
            <w:r>
              <w:t>Deterministic amendment operation, source target, before/after text, validation result, unresolved state, and authoritative reconciliation record.</w:t>
            </w:r>
          </w:p>
        </w:tc>
      </w:tr>
    </w:tbl>
    <w:p>
      <w:pPr>
        <w:pStyle w:val="Heading2"/>
      </w:pPr>
      <w:r>
        <w:t>12.2 Stable identifiers</w:t>
      </w:r>
    </w:p>
    <w:p>
      <w:pPr>
        <w:spacing w:after="120" w:line="259" w:lineRule="auto"/>
      </w:pPr>
      <w:r>
        <w:rPr>
          <w:rFonts w:ascii="Arial" w:hAnsi="Arial"/>
          <w:color w:val="24313A"/>
          <w:sz w:val="19"/>
        </w:rPr>
        <w:t>Public IDs should be stable, opaque, and independent of mutable titles. External identifiers—Congress bill IDs, GovInfo package IDs, U.S. Code citations, agency program numbers, FEC committee IDs, SEC CIKs, and award IDs—should be stored as typed identifiers, never overloaded into a single string.</w:t>
      </w:r>
    </w:p>
    <w:p>
      <w:pPr>
        <w:pStyle w:val="Heading2"/>
      </w:pPr>
      <w:r>
        <w:t>12.3 Public API principles</w:t>
      </w:r>
    </w:p>
    <w:p>
      <w:pPr>
        <w:pStyle w:val="ListBullet"/>
        <w:spacing w:after="60"/>
        <w:ind w:left="0"/>
      </w:pPr>
      <w:r>
        <w:rPr>
          <w:rFonts w:ascii="Arial" w:hAnsi="Arial"/>
          <w:color w:val="24313A"/>
        </w:rPr>
        <w:t>Read-only public API for published and non-sensitive records.</w:t>
      </w:r>
    </w:p>
    <w:p>
      <w:pPr>
        <w:pStyle w:val="ListBullet"/>
        <w:spacing w:after="60"/>
        <w:ind w:left="0"/>
      </w:pPr>
      <w:r>
        <w:rPr>
          <w:rFonts w:ascii="Arial" w:hAnsi="Arial"/>
          <w:color w:val="24313A"/>
        </w:rPr>
        <w:t>Versioned schemas and explicit deprecation policy.</w:t>
      </w:r>
    </w:p>
    <w:p>
      <w:pPr>
        <w:pStyle w:val="ListBullet"/>
        <w:spacing w:after="60"/>
        <w:ind w:left="0"/>
      </w:pPr>
      <w:r>
        <w:rPr>
          <w:rFonts w:ascii="Arial" w:hAnsi="Arial"/>
          <w:color w:val="24313A"/>
        </w:rPr>
        <w:t>Pagination, filters, bulk exports, and deterministic sorting.</w:t>
      </w:r>
    </w:p>
    <w:p>
      <w:pPr>
        <w:pStyle w:val="ListBullet"/>
        <w:spacing w:after="60"/>
        <w:ind w:left="0"/>
      </w:pPr>
      <w:r>
        <w:rPr>
          <w:rFonts w:ascii="Arial" w:hAnsi="Arial"/>
          <w:color w:val="24313A"/>
        </w:rPr>
        <w:t>Every impact result returns analysis-run, model, source, units, year, population, and confidence identifiers.</w:t>
      </w:r>
    </w:p>
    <w:p>
      <w:pPr>
        <w:pStyle w:val="ListBullet"/>
        <w:spacing w:after="60"/>
        <w:ind w:left="0"/>
      </w:pPr>
      <w:r>
        <w:rPr>
          <w:rFonts w:ascii="Arial" w:hAnsi="Arial"/>
          <w:color w:val="24313A"/>
        </w:rPr>
        <w:t>Every narrative finding returns supporting evidence links and correction status.</w:t>
      </w:r>
    </w:p>
    <w:p>
      <w:pPr>
        <w:pStyle w:val="ListBullet"/>
        <w:spacing w:after="60"/>
        <w:ind w:left="0"/>
      </w:pPr>
      <w:r>
        <w:rPr>
          <w:rFonts w:ascii="Arial" w:hAnsi="Arial"/>
          <w:color w:val="24313A"/>
        </w:rPr>
        <w:t>Rate limits should protect the service without preventing civic reuse; provide bulk snapshots for large-scale research.</w:t>
      </w:r>
    </w:p>
    <w:tbl>
      <w:tblPr>
        <w:tblW w:type="auto" w:w="0"/>
        <w:jc w:val="center"/>
        <w:tblLayout w:type="fixed"/>
        <w:tblLook w:firstColumn="1" w:firstRow="1" w:lastColumn="0" w:lastRow="0" w:noHBand="0" w:noVBand="1" w:val="04A0"/>
        <w:tblBorders>
          <w:top w:val="single" w:sz="8" w:space="0" w:color="D5DCE2"/>
          <w:left w:val="single" w:sz="8" w:space="0" w:color="D5DCE2"/>
          <w:bottom w:val="single" w:sz="8" w:space="0" w:color="D5DCE2"/>
          <w:right w:val="single" w:sz="8" w:space="0" w:color="D5DCE2"/>
          <w:insideH w:val="single" w:sz="8" w:space="0" w:color="D5DCE2"/>
          <w:insideV w:val="single" w:sz="8" w:space="0" w:color="D5DCE2"/>
        </w:tblBorders>
      </w:tblPr>
      <w:tblGrid>
        <w:gridCol w:w="9878"/>
      </w:tblGrid>
      <w:tr>
        <w:trPr>
          <w:cantSplit/>
          <w:tblHeader w:val="true"/>
        </w:trPr>
        <w:tc>
          <w:tcPr>
            <w:tcW w:type="dxa" w:w="9432"/>
            <w:shd w:fill="F2F4F6"/>
            <w:tcMar>
              <w:top w:w="130" w:type="dxa"/>
              <w:start w:w="140" w:type="dxa"/>
              <w:bottom w:w="130" w:type="dxa"/>
              <w:end w:w="140" w:type="dxa"/>
            </w:tcMar>
          </w:tcPr>
          <w:p>
            <w:pPr>
              <w:spacing w:after="0"/>
            </w:pPr>
            <w:r>
              <w:rPr>
                <w:rFonts w:ascii="Courier New" w:hAnsi="Courier New"/>
                <w:color w:val="24313A"/>
                <w:sz w:val="15"/>
              </w:rPr>
              <w:t>GET /v1/bills/{bill_id}/versions/{version_id}/report</w:t>
              <w:br/>
              <w:t>GET /v1/changesets/{changeset_id}</w:t>
              <w:br/>
              <w:t>GET /v1/analysis-units/{analysis_unit_id}</w:t>
              <w:br/>
              <w:t>GET /v1/provisions/{provision_id}</w:t>
              <w:br/>
              <w:t>GET /v1/provisions/{provision_id}/impacts?group=income_decile</w:t>
              <w:br/>
              <w:t>GET /v1/provisions/{provision_id}/flags</w:t>
              <w:br/>
              <w:t>GET /v1/claims/{claim_id}/decision-ledger</w:t>
              <w:br/>
              <w:t>GET /v1/perspectives/{perspective_id}</w:t>
              <w:br/>
              <w:t>GET /v1/reports/{report_id}/perspective-comparison</w:t>
              <w:br/>
              <w:t>GET /v1/methodologies/{methodology_id}</w:t>
              <w:br/>
              <w:t>GET /v1/corrections?affected_id={id}</w:t>
            </w:r>
          </w:p>
        </w:tc>
      </w:tr>
    </w:tbl>
    <w:p>
      <w:bookmarkStart w:id="130" w:name="validation"/>
      <w:pPr>
        <w:pStyle w:val="Heading1"/>
      </w:pPr>
      <w:r>
        <w:t>13. Validation and release controls</w:t>
      </w:r>
      <w:bookmarkEnd w:id="130"/>
    </w:p>
    <w:p>
      <w:pPr>
        <w:pStyle w:val="Heading2"/>
      </w:pPr>
      <w:r>
        <w:t>13.1 Test pyramid</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1872"/>
            <w:shd w:fill="17324D"/>
            <w:tcMar>
              <w:top w:w="90" w:type="dxa"/>
              <w:start w:w="90" w:type="dxa"/>
              <w:bottom w:w="90" w:type="dxa"/>
              <w:end w:w="90" w:type="dxa"/>
            </w:tcMar>
            <w:vAlign w:val="center"/>
          </w:tcPr>
          <w:p>
            <w:pPr>
              <w:jc w:val="left"/>
            </w:pPr>
            <w:r>
              <w:rPr>
                <w:rFonts w:ascii="Arial" w:hAnsi="Arial"/>
                <w:b/>
                <w:color w:val="FFFFFF"/>
                <w:sz w:val="16"/>
              </w:rPr>
              <w:t>Level</w:t>
            </w:r>
          </w:p>
        </w:tc>
        <w:tc>
          <w:tcPr>
            <w:tcW w:type="dxa" w:w="7632"/>
            <w:shd w:fill="17324D"/>
            <w:tcMar>
              <w:top w:w="90" w:type="dxa"/>
              <w:start w:w="90" w:type="dxa"/>
              <w:bottom w:w="90" w:type="dxa"/>
              <w:end w:w="90" w:type="dxa"/>
            </w:tcMar>
            <w:vAlign w:val="center"/>
          </w:tcPr>
          <w:p>
            <w:pPr>
              <w:jc w:val="left"/>
            </w:pPr>
            <w:r>
              <w:rPr>
                <w:rFonts w:ascii="Arial" w:hAnsi="Arial"/>
                <w:b/>
                <w:color w:val="FFFFFF"/>
                <w:sz w:val="16"/>
              </w:rPr>
              <w:t>Required tests</w:t>
            </w:r>
          </w:p>
        </w:tc>
      </w:tr>
      <w:tr>
        <w:trPr>
          <w:cantSplit/>
        </w:trPr>
        <w:tc>
          <w:tcPr>
            <w:tcW w:type="dxa" w:w="1872"/>
            <w:tcMar>
              <w:top w:w="75" w:type="dxa"/>
              <w:start w:w="85" w:type="dxa"/>
              <w:bottom w:w="75" w:type="dxa"/>
              <w:end w:w="85" w:type="dxa"/>
            </w:tcMar>
            <w:vAlign w:val="top"/>
          </w:tcPr>
          <w:p>
            <w:pPr>
              <w:spacing w:after="0"/>
            </w:pPr>
            <w:r>
              <w:rPr>
                <w:rFonts w:ascii="Arial" w:hAnsi="Arial"/>
                <w:color w:val="24313A"/>
                <w:sz w:val="15"/>
              </w:rPr>
              <w:t>Source / parser</w:t>
            </w:r>
          </w:p>
        </w:tc>
        <w:tc>
          <w:tcPr>
            <w:tcW w:type="dxa" w:w="7632"/>
            <w:tcMar>
              <w:top w:w="75" w:type="dxa"/>
              <w:start w:w="85" w:type="dxa"/>
              <w:bottom w:w="75" w:type="dxa"/>
              <w:end w:w="85" w:type="dxa"/>
            </w:tcMar>
            <w:vAlign w:val="top"/>
          </w:tcPr>
          <w:p>
            <w:r>
              <w:t>Schema validation, fixtures, malformed documents, USLM/XML hierarchy, tables, footnotes, cross-references, encoding, supported amendment operations, ambiguous instructions, and round-trip statutory reconstruction.</w:t>
            </w:r>
          </w:p>
        </w:tc>
      </w:tr>
      <w:tr>
        <w:trPr>
          <w:cantSplit/>
        </w:trPr>
        <w:tc>
          <w:tcPr>
            <w:tcW w:type="dxa" w:w="1872"/>
            <w:shd w:fill="F7F9FA"/>
            <w:tcMar>
              <w:top w:w="75" w:type="dxa"/>
              <w:start w:w="85" w:type="dxa"/>
              <w:bottom w:w="75" w:type="dxa"/>
              <w:end w:w="85" w:type="dxa"/>
            </w:tcMar>
            <w:vAlign w:val="top"/>
          </w:tcPr>
          <w:p>
            <w:pPr>
              <w:spacing w:after="0"/>
            </w:pPr>
            <w:r>
              <w:rPr>
                <w:rFonts w:ascii="Arial" w:hAnsi="Arial"/>
                <w:color w:val="24313A"/>
                <w:sz w:val="15"/>
              </w:rPr>
              <w:t>Rule unit</w:t>
            </w:r>
          </w:p>
        </w:tc>
        <w:tc>
          <w:tcPr>
            <w:tcW w:type="dxa" w:w="7632"/>
            <w:shd w:fill="F7F9FA"/>
            <w:tcMar>
              <w:top w:w="75" w:type="dxa"/>
              <w:start w:w="85" w:type="dxa"/>
              <w:bottom w:w="75" w:type="dxa"/>
              <w:end w:w="85" w:type="dxa"/>
            </w:tcMar>
            <w:vAlign w:val="top"/>
          </w:tcPr>
          <w:p>
            <w:pPr>
              <w:spacing w:after="0"/>
            </w:pPr>
            <w:r>
              <w:rPr>
                <w:rFonts w:ascii="Arial" w:hAnsi="Arial"/>
                <w:color w:val="24313A"/>
                <w:sz w:val="15"/>
              </w:rPr>
              <w:t>Eligibility boundaries, rates, phaseouts, dates, rounding, indexing, carryovers, entity aggregation, and exceptions.</w:t>
            </w:r>
          </w:p>
        </w:tc>
      </w:tr>
      <w:tr>
        <w:trPr>
          <w:cantSplit/>
        </w:trPr>
        <w:tc>
          <w:tcPr>
            <w:tcW w:type="dxa" w:w="1872"/>
            <w:tcMar>
              <w:top w:w="75" w:type="dxa"/>
              <w:start w:w="85" w:type="dxa"/>
              <w:bottom w:w="75" w:type="dxa"/>
              <w:end w:w="85" w:type="dxa"/>
            </w:tcMar>
            <w:vAlign w:val="top"/>
          </w:tcPr>
          <w:p>
            <w:pPr>
              <w:spacing w:after="0"/>
            </w:pPr>
            <w:r>
              <w:rPr>
                <w:rFonts w:ascii="Arial" w:hAnsi="Arial"/>
                <w:color w:val="24313A"/>
                <w:sz w:val="15"/>
              </w:rPr>
              <w:t>Interaction</w:t>
            </w:r>
          </w:p>
        </w:tc>
        <w:tc>
          <w:tcPr>
            <w:tcW w:type="dxa" w:w="7632"/>
            <w:tcMar>
              <w:top w:w="75" w:type="dxa"/>
              <w:start w:w="85" w:type="dxa"/>
              <w:bottom w:w="75" w:type="dxa"/>
              <w:end w:w="85" w:type="dxa"/>
            </w:tcMar>
            <w:vAlign w:val="top"/>
          </w:tcPr>
          <w:p>
            <w:pPr>
              <w:spacing w:after="0"/>
            </w:pPr>
            <w:r>
              <w:rPr>
                <w:rFonts w:ascii="Arial" w:hAnsi="Arial"/>
                <w:color w:val="24313A"/>
                <w:sz w:val="15"/>
              </w:rPr>
              <w:t>Cross-program and cross-tax interactions; ordering; circular dependencies; federal/state assumptions where used.</w:t>
            </w:r>
          </w:p>
        </w:tc>
      </w:tr>
      <w:tr>
        <w:trPr>
          <w:cantSplit/>
        </w:trPr>
        <w:tc>
          <w:tcPr>
            <w:tcW w:type="dxa" w:w="1872"/>
            <w:shd w:fill="F7F9FA"/>
            <w:tcMar>
              <w:top w:w="75" w:type="dxa"/>
              <w:start w:w="85" w:type="dxa"/>
              <w:bottom w:w="75" w:type="dxa"/>
              <w:end w:w="85" w:type="dxa"/>
            </w:tcMar>
            <w:vAlign w:val="top"/>
          </w:tcPr>
          <w:p>
            <w:pPr>
              <w:spacing w:after="0"/>
            </w:pPr>
            <w:r>
              <w:rPr>
                <w:rFonts w:ascii="Arial" w:hAnsi="Arial"/>
                <w:color w:val="24313A"/>
                <w:sz w:val="15"/>
              </w:rPr>
              <w:t>Regression</w:t>
            </w:r>
          </w:p>
        </w:tc>
        <w:tc>
          <w:tcPr>
            <w:tcW w:type="dxa" w:w="7632"/>
            <w:shd w:fill="F7F9FA"/>
            <w:tcMar>
              <w:top w:w="75" w:type="dxa"/>
              <w:start w:w="85" w:type="dxa"/>
              <w:bottom w:w="75" w:type="dxa"/>
              <w:end w:w="85" w:type="dxa"/>
            </w:tcMar>
            <w:vAlign w:val="top"/>
          </w:tcPr>
          <w:p>
            <w:pPr>
              <w:spacing w:after="0"/>
            </w:pPr>
            <w:r>
              <w:rPr>
                <w:rFonts w:ascii="Arial" w:hAnsi="Arial"/>
                <w:color w:val="24313A"/>
                <w:sz w:val="15"/>
              </w:rPr>
              <w:t>Golden representative cases, aggregate distributions, prior published reports, and known edge cases.</w:t>
            </w:r>
          </w:p>
        </w:tc>
      </w:tr>
      <w:tr>
        <w:trPr>
          <w:cantSplit/>
        </w:trPr>
        <w:tc>
          <w:tcPr>
            <w:tcW w:type="dxa" w:w="1872"/>
            <w:tcMar>
              <w:top w:w="75" w:type="dxa"/>
              <w:start w:w="85" w:type="dxa"/>
              <w:bottom w:w="75" w:type="dxa"/>
              <w:end w:w="85" w:type="dxa"/>
            </w:tcMar>
            <w:vAlign w:val="top"/>
          </w:tcPr>
          <w:p>
            <w:pPr>
              <w:spacing w:after="0"/>
            </w:pPr>
            <w:r>
              <w:rPr>
                <w:rFonts w:ascii="Arial" w:hAnsi="Arial"/>
                <w:color w:val="24313A"/>
                <w:sz w:val="15"/>
              </w:rPr>
              <w:t>Reconciliation</w:t>
            </w:r>
          </w:p>
        </w:tc>
        <w:tc>
          <w:tcPr>
            <w:tcW w:type="dxa" w:w="7632"/>
            <w:tcMar>
              <w:top w:w="75" w:type="dxa"/>
              <w:start w:w="85" w:type="dxa"/>
              <w:bottom w:w="75" w:type="dxa"/>
              <w:end w:w="85" w:type="dxa"/>
            </w:tcMar>
            <w:vAlign w:val="top"/>
          </w:tcPr>
          <w:p>
            <w:pPr>
              <w:spacing w:after="0"/>
            </w:pPr>
            <w:r>
              <w:rPr>
                <w:rFonts w:ascii="Arial" w:hAnsi="Arial"/>
                <w:color w:val="24313A"/>
                <w:sz w:val="15"/>
              </w:rPr>
              <w:t>Match official examples, totals, published estimates, administrative counts, or independent implementations within stated tolerance.</w:t>
            </w:r>
          </w:p>
        </w:tc>
      </w:tr>
      <w:tr>
        <w:trPr>
          <w:cantSplit/>
        </w:trPr>
        <w:tc>
          <w:tcPr>
            <w:tcW w:type="dxa" w:w="1872"/>
            <w:shd w:fill="F7F9FA"/>
            <w:tcMar>
              <w:top w:w="75" w:type="dxa"/>
              <w:start w:w="85" w:type="dxa"/>
              <w:bottom w:w="75" w:type="dxa"/>
              <w:end w:w="85" w:type="dxa"/>
            </w:tcMar>
            <w:vAlign w:val="top"/>
          </w:tcPr>
          <w:p>
            <w:pPr>
              <w:spacing w:after="0"/>
            </w:pPr>
            <w:r>
              <w:rPr>
                <w:rFonts w:ascii="Arial" w:hAnsi="Arial"/>
                <w:color w:val="24313A"/>
                <w:sz w:val="15"/>
              </w:rPr>
              <w:t>AI evaluation</w:t>
            </w:r>
          </w:p>
        </w:tc>
        <w:tc>
          <w:tcPr>
            <w:tcW w:type="dxa" w:w="7632"/>
            <w:shd w:fill="F7F9FA"/>
            <w:tcMar>
              <w:top w:w="75" w:type="dxa"/>
              <w:start w:w="85" w:type="dxa"/>
              <w:bottom w:w="75" w:type="dxa"/>
              <w:end w:w="85" w:type="dxa"/>
            </w:tcMar>
            <w:vAlign w:val="top"/>
          </w:tcPr>
          <w:p>
            <w:pPr>
              <w:spacing w:after="0"/>
            </w:pPr>
            <w:r>
              <w:rPr>
                <w:rFonts w:ascii="Arial" w:hAnsi="Arial"/>
                <w:color w:val="24313A"/>
                <w:sz w:val="15"/>
              </w:rPr>
              <w:t>Extraction accuracy, citation correctness, unsupported-claim rate, section matching, and adversarial language.</w:t>
            </w:r>
          </w:p>
        </w:tc>
      </w:tr>
      <w:tr>
        <w:trPr>
          <w:cantSplit/>
        </w:trPr>
        <w:tc>
          <w:tcPr>
            <w:tcW w:type="dxa" w:w="1872"/>
            <w:tcMar>
              <w:top w:w="75" w:type="dxa"/>
              <w:start w:w="85" w:type="dxa"/>
              <w:bottom w:w="75" w:type="dxa"/>
              <w:end w:w="85" w:type="dxa"/>
            </w:tcMar>
            <w:vAlign w:val="top"/>
          </w:tcPr>
          <w:p>
            <w:pPr>
              <w:spacing w:after="0"/>
            </w:pPr>
            <w:r>
              <w:rPr>
                <w:rFonts w:ascii="Arial" w:hAnsi="Arial"/>
                <w:color w:val="24313A"/>
                <w:sz w:val="15"/>
              </w:rPr>
              <w:t>Accessibility / UX</w:t>
            </w:r>
          </w:p>
        </w:tc>
        <w:tc>
          <w:tcPr>
            <w:tcW w:type="dxa" w:w="7632"/>
            <w:tcMar>
              <w:top w:w="75" w:type="dxa"/>
              <w:start w:w="85" w:type="dxa"/>
              <w:bottom w:w="75" w:type="dxa"/>
              <w:end w:w="85" w:type="dxa"/>
            </w:tcMar>
            <w:vAlign w:val="top"/>
          </w:tcPr>
          <w:p>
            <w:pPr>
              <w:spacing w:after="0"/>
            </w:pPr>
            <w:r>
              <w:rPr>
                <w:rFonts w:ascii="Arial" w:hAnsi="Arial"/>
                <w:color w:val="24313A"/>
                <w:sz w:val="15"/>
              </w:rPr>
              <w:t>Keyboard, screen reader, contrast, zoom, tables, charts, plain language, and mobile layouts.</w:t>
            </w:r>
          </w:p>
        </w:tc>
      </w:tr>
      <w:tr>
        <w:trPr>
          <w:cantSplit/>
        </w:trPr>
        <w:tc>
          <w:tcPr>
            <w:tcW w:type="dxa" w:w="1872"/>
            <w:shd w:fill="F7F9FA"/>
            <w:tcMar>
              <w:top w:w="75" w:type="dxa"/>
              <w:start w:w="85" w:type="dxa"/>
              <w:bottom w:w="75" w:type="dxa"/>
              <w:end w:w="85" w:type="dxa"/>
            </w:tcMar>
            <w:vAlign w:val="top"/>
          </w:tcPr>
          <w:p>
            <w:pPr>
              <w:spacing w:after="0"/>
            </w:pPr>
            <w:r>
              <w:rPr>
                <w:rFonts w:ascii="Arial" w:hAnsi="Arial"/>
                <w:color w:val="24313A"/>
                <w:sz w:val="15"/>
              </w:rPr>
              <w:t>Security / integrity</w:t>
            </w:r>
          </w:p>
        </w:tc>
        <w:tc>
          <w:tcPr>
            <w:tcW w:type="dxa" w:w="7632"/>
            <w:shd w:fill="F7F9FA"/>
            <w:tcMar>
              <w:top w:w="75" w:type="dxa"/>
              <w:start w:w="85" w:type="dxa"/>
              <w:bottom w:w="75" w:type="dxa"/>
              <w:end w:w="85" w:type="dxa"/>
            </w:tcMar>
            <w:vAlign w:val="top"/>
          </w:tcPr>
          <w:p>
            <w:pPr>
              <w:spacing w:after="0"/>
            </w:pPr>
            <w:r>
              <w:rPr>
                <w:rFonts w:ascii="Arial" w:hAnsi="Arial"/>
                <w:color w:val="24313A"/>
                <w:sz w:val="15"/>
              </w:rPr>
              <w:t>Permissions, secret handling, dependency scanning, signed artifacts, audit completeness, and recovery exercises.</w:t>
            </w:r>
          </w:p>
        </w:tc>
      </w:tr>
      <w:tr>
        <w:trPr>
          <w:cantSplit/>
        </w:trPr>
        <w:tc>
          <w:tcPr>
            <w:tcW w:type="dxa" w:w="1872"/>
            <w:shd w:fill="F7F9FA"/>
            <w:tcMar>
              <w:top w:w="75" w:type="dxa"/>
              <w:start w:w="85" w:type="dxa"/>
              <w:bottom w:w="75" w:type="dxa"/>
              <w:end w:w="85" w:type="dxa"/>
            </w:tcMar>
            <w:vAlign w:val="top"/>
          </w:tcPr>
          <w:p>
            <w:pPr>
              <w:spacing w:after="0"/>
            </w:pPr>
            <w:r>
              <w:rPr>
                <w:rFonts w:ascii="Arial" w:hAnsi="Arial"/>
                <w:color w:val="24313A"/>
                <w:sz w:val="15"/>
              </w:rPr>
              <w:t>Risk / escalation</w:t>
            </w:r>
          </w:p>
        </w:tc>
        <w:tc>
          <w:tcPr>
            <w:tcW w:type="dxa" w:w="7632"/>
            <w:shd w:fill="F7F9FA"/>
            <w:tcMar>
              <w:top w:w="75" w:type="dxa"/>
              <w:start w:w="85" w:type="dxa"/>
              <w:bottom w:w="75" w:type="dxa"/>
              <w:end w:w="85" w:type="dxa"/>
            </w:tcMar>
            <w:vAlign w:val="top"/>
          </w:tcPr>
          <w:p>
            <w:pPr>
              <w:spacing w:after="0"/>
            </w:pPr>
            <w:r>
              <w:rPr>
                <w:rFonts w:ascii="Arial" w:hAnsi="Arial"/>
                <w:color w:val="24313A"/>
                <w:sz w:val="15"/>
              </w:rPr>
              <w:t>Known trigger cases, false-negative review, threshold stability, named-entity and accusatory-language handling, queue routing, and random-sample selection.</w:t>
            </w:r>
          </w:p>
        </w:tc>
      </w:tr>
      <w:tr>
        <w:trPr>
          <w:cantSplit/>
        </w:trPr>
        <w:tc>
          <w:tcPr>
            <w:tcW w:type="dxa" w:w="1872"/>
            <w:shd w:fill="F7F9FA"/>
            <w:tcMar>
              <w:top w:w="75" w:type="dxa"/>
              <w:start w:w="85" w:type="dxa"/>
              <w:bottom w:w="75" w:type="dxa"/>
              <w:end w:w="85" w:type="dxa"/>
            </w:tcMar>
            <w:vAlign w:val="top"/>
          </w:tcPr>
          <w:p>
            <w:pPr>
              <w:spacing w:after="0"/>
            </w:pPr>
            <w:r>
              <w:rPr>
                <w:rFonts w:ascii="Arial" w:hAnsi="Arial"/>
                <w:color w:val="24313A"/>
                <w:sz w:val="15"/>
              </w:rPr>
              <w:t>Perspective invariance</w:t>
            </w:r>
          </w:p>
        </w:tc>
        <w:tc>
          <w:tcPr>
            <w:tcW w:type="dxa" w:w="7632"/>
            <w:shd w:fill="F7F9FA"/>
            <w:tcMar>
              <w:top w:w="75" w:type="dxa"/>
              <w:start w:w="85" w:type="dxa"/>
              <w:bottom w:w="75" w:type="dxa"/>
              <w:end w:w="85" w:type="dxa"/>
            </w:tcMar>
            <w:vAlign w:val="top"/>
          </w:tcPr>
          <w:p>
            <w:r>
              <w:t>Switching profiles cannot change common evidence, statutory transformations, canonical calculations, model-scenario definitions, or material counterevidence.</w:t>
            </w:r>
          </w:p>
        </w:tc>
      </w:tr>
      <w:tr>
        <w:tc>
          <w:tcPr>
            <w:tcW w:type="dxa" w:w="4939"/>
          </w:tcPr>
          <w:p>
            <w:r>
              <w:t>Client-side privacy</w:t>
            </w:r>
          </w:p>
        </w:tc>
        <w:tc>
          <w:tcPr>
            <w:tcW w:type="dxa" w:w="4939"/>
          </w:tcPr>
          <w:p>
            <w:r>
              <w:t>Automated browser and network tests prove custom household inputs never leave the device or enter analytics, logs, crash reports, replay tools, or third-party requests.</w:t>
            </w:r>
          </w:p>
        </w:tc>
      </w:tr>
    </w:tbl>
    <w:p>
      <w:pPr>
        <w:pStyle w:val="Heading2"/>
      </w:pPr>
      <w:r>
        <w:t>13.2 Release gate</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448"/>
            <w:shd w:fill="17324D"/>
            <w:tcMar>
              <w:top w:w="90" w:type="dxa"/>
              <w:start w:w="90" w:type="dxa"/>
              <w:bottom w:w="90" w:type="dxa"/>
              <w:end w:w="90" w:type="dxa"/>
            </w:tcMar>
            <w:vAlign w:val="center"/>
          </w:tcPr>
          <w:p>
            <w:pPr>
              <w:jc w:val="left"/>
            </w:pPr>
            <w:r>
              <w:rPr>
                <w:rFonts w:ascii="Arial" w:hAnsi="Arial"/>
                <w:b/>
                <w:color w:val="FFFFFF"/>
                <w:sz w:val="16"/>
              </w:rPr>
              <w:t>Gate</w:t>
            </w:r>
          </w:p>
        </w:tc>
        <w:tc>
          <w:tcPr>
            <w:tcW w:type="dxa" w:w="7056"/>
            <w:shd w:fill="17324D"/>
            <w:tcMar>
              <w:top w:w="90" w:type="dxa"/>
              <w:start w:w="90" w:type="dxa"/>
              <w:bottom w:w="90" w:type="dxa"/>
              <w:end w:w="90" w:type="dxa"/>
            </w:tcMar>
            <w:vAlign w:val="center"/>
          </w:tcPr>
          <w:p>
            <w:pPr>
              <w:jc w:val="left"/>
            </w:pPr>
            <w:r>
              <w:rPr>
                <w:rFonts w:ascii="Arial" w:hAnsi="Arial"/>
                <w:b/>
                <w:color w:val="FFFFFF"/>
                <w:sz w:val="16"/>
              </w:rPr>
              <w:t>Evidence</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Evidence complete</w:t>
            </w:r>
          </w:p>
        </w:tc>
        <w:tc>
          <w:tcPr>
            <w:tcW w:type="dxa" w:w="7056"/>
            <w:tcMar>
              <w:top w:w="75" w:type="dxa"/>
              <w:start w:w="85" w:type="dxa"/>
              <w:bottom w:w="75" w:type="dxa"/>
              <w:end w:w="85" w:type="dxa"/>
            </w:tcMar>
            <w:vAlign w:val="top"/>
          </w:tcPr>
          <w:p>
            <w:pPr>
              <w:spacing w:after="0"/>
            </w:pPr>
            <w:r>
              <w:rPr>
                <w:rFonts w:ascii="Arial" w:hAnsi="Arial"/>
                <w:color w:val="24313A"/>
                <w:sz w:val="15"/>
              </w:rPr>
              <w:t>All public claims link to sources and approved structured records.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Calculations passed</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Unit, interaction, regression, and reconciliation tests pass or approved exceptions are documented.</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Unexpected change review</w:t>
            </w:r>
          </w:p>
        </w:tc>
        <w:tc>
          <w:tcPr>
            <w:tcW w:type="dxa" w:w="7056"/>
            <w:tcMar>
              <w:top w:w="75" w:type="dxa"/>
              <w:start w:w="85" w:type="dxa"/>
              <w:bottom w:w="75" w:type="dxa"/>
              <w:end w:w="85" w:type="dxa"/>
            </w:tcMar>
            <w:vAlign w:val="top"/>
          </w:tcPr>
          <w:p>
            <w:pPr>
              <w:spacing w:after="0"/>
            </w:pPr>
            <w:r>
              <w:rPr>
                <w:rFonts w:ascii="Arial" w:hAnsi="Arial"/>
                <w:color w:val="24313A"/>
                <w:sz w:val="15"/>
              </w:rPr>
              <w:t>Diff of outputs against prior validated release is reviewed and classified.</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Methodology updated</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Model card, assumptions, source/data cards, and limitations reflect the release.</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User support updated</w:t>
            </w:r>
          </w:p>
        </w:tc>
        <w:tc>
          <w:tcPr>
            <w:tcW w:type="dxa" w:w="7056"/>
            <w:tcMar>
              <w:top w:w="75" w:type="dxa"/>
              <w:start w:w="85" w:type="dxa"/>
              <w:bottom w:w="75" w:type="dxa"/>
              <w:end w:w="85" w:type="dxa"/>
            </w:tcMar>
            <w:vAlign w:val="top"/>
          </w:tcPr>
          <w:p>
            <w:pPr>
              <w:spacing w:after="0"/>
            </w:pPr>
            <w:r>
              <w:rPr>
                <w:rFonts w:ascii="Arial" w:hAnsi="Arial"/>
                <w:color w:val="24313A"/>
                <w:sz w:val="15"/>
              </w:rPr>
              <w:t>Help, tooltips, jargon definitions, search content, examples, and training are current.</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Feature registry updated</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Features, data fields, flags, APIs, and known limitations are cataloged.</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Required review complete</w:t>
            </w:r>
          </w:p>
        </w:tc>
        <w:tc>
          <w:tcPr>
            <w:tcW w:type="dxa" w:w="7056"/>
            <w:tcMar>
              <w:top w:w="75" w:type="dxa"/>
              <w:start w:w="85" w:type="dxa"/>
              <w:bottom w:w="75" w:type="dxa"/>
              <w:end w:w="85" w:type="dxa"/>
            </w:tcMar>
            <w:vAlign w:val="top"/>
          </w:tcPr>
          <w:p>
            <w:pPr>
              <w:spacing w:after="0"/>
            </w:pPr>
            <w:r>
              <w:rPr>
                <w:rFonts w:ascii="Arial" w:hAnsi="Arial"/>
                <w:color w:val="24313A"/>
                <w:sz w:val="15"/>
              </w:rPr>
              <w:t>All policy-required triggered, sampled, analyst, legal, economics, or subject review is recorded; no universal prior approval is implied.</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Reproducibility package created</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Source hashes, code commit, environment, parameters, data versions, and run artifacts are retained.</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Publication checks passed</w:t>
            </w:r>
          </w:p>
        </w:tc>
        <w:tc>
          <w:tcPr>
            <w:tcW w:type="dxa" w:w="7056"/>
            <w:tcMar>
              <w:top w:w="75" w:type="dxa"/>
              <w:start w:w="85" w:type="dxa"/>
              <w:bottom w:w="75" w:type="dxa"/>
              <w:end w:w="85" w:type="dxa"/>
            </w:tcMar>
            <w:vAlign w:val="top"/>
          </w:tcPr>
          <w:p>
            <w:pPr>
              <w:spacing w:after="0"/>
            </w:pPr>
            <w:r>
              <w:rPr>
                <w:rFonts w:ascii="Arial" w:hAnsi="Arial"/>
                <w:color w:val="24313A"/>
                <w:sz w:val="15"/>
              </w:rPr>
              <w:t>No draft language, broken links, missing citations, inaccessible charts, or stale timestamps.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Rollback ready</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Prior report and model release remain available; correction and rollback procedures are tested.</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Decision ledger complete</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Every material AI output has model, prompt, source, validation, risk, publication-state, and lifecycle records.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Perspective invariance passed</w:t>
            </w:r>
          </w:p>
        </w:tc>
        <w:tc>
          <w:tcPr>
            <w:tcW w:type="dxa" w:w="7056"/>
            <w:shd w:fill="F7F9FA"/>
            <w:tcMar>
              <w:top w:w="75" w:type="dxa"/>
              <w:start w:w="85" w:type="dxa"/>
              <w:bottom w:w="75" w:type="dxa"/>
              <w:end w:w="85" w:type="dxa"/>
            </w:tcMar>
            <w:vAlign w:val="top"/>
          </w:tcPr>
          <w:p>
            <w:r>
              <w:t>Profile switching leaves common evidence, canonical base outputs, alternative model-scenario definitions, statutory transformations, and material counterevidence unchanged.</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Sampling plan executed</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Required random and stratified quality samples completed, error rates recorded, and review percentages adjusted when thresholds are exceeded.</w:t>
            </w:r>
          </w:p>
        </w:tc>
      </w:tr>
      <w:tr>
        <w:tc>
          <w:tcPr>
            <w:tcW w:type="dxa" w:w="4939"/>
          </w:tcPr>
          <w:p>
            <w:r>
              <w:t>Statutory transformation validated</w:t>
            </w:r>
          </w:p>
        </w:tc>
        <w:tc>
          <w:tcPr>
            <w:tcW w:type="dxa" w:w="4939"/>
          </w:tcPr>
          <w:p>
            <w:r>
              <w:t>Supported legal operations pass deterministic application and round-trip reconciliation; unresolved operations are explicitly abstained and escalated.</w:t>
            </w:r>
          </w:p>
        </w:tc>
      </w:tr>
      <w:tr>
        <w:tc>
          <w:tcPr>
            <w:tcW w:type="dxa" w:w="4939"/>
          </w:tcPr>
          <w:p>
            <w:r>
              <w:t>Household-input egress blocked</w:t>
            </w:r>
          </w:p>
        </w:tc>
        <w:tc>
          <w:tcPr>
            <w:tcW w:type="dxa" w:w="4939"/>
          </w:tcPr>
          <w:p>
            <w:r>
              <w:t>POC custom inputs remain browser-local; automated network tests and dependency review show no transmission or third-party access.</w:t>
            </w:r>
          </w:p>
        </w:tc>
      </w:tr>
    </w:tbl>
    <w:p>
      <w:pPr>
        <w:pStyle w:val="Heading2"/>
      </w:pPr>
      <w:r>
        <w:t>13.3 Validation tolerances</w:t>
      </w:r>
    </w:p>
    <w:p>
      <w:pPr>
        <w:spacing w:after="120" w:line="259" w:lineRule="auto"/>
      </w:pPr>
      <w:r>
        <w:rPr>
          <w:rFonts w:ascii="Arial" w:hAnsi="Arial"/>
          <w:color w:val="24313A"/>
          <w:sz w:val="19"/>
        </w:rPr>
        <w:t>Tolerance must be metric-specific and published. Exact statutory examples may require exact agreement; microsimulation totals may use percentage or absolute tolerances; external estimates may be treated as comparison ranges rather than targets. A model should never be tuned merely to match a politically preferred estimate.</w:t>
      </w:r>
    </w:p>
    <w:p>
      <w:pPr>
        <w:pStyle w:val="Heading2"/>
      </w:pPr>
      <w:r>
        <w:t>13.4 Red-team program</w:t>
      </w:r>
    </w:p>
    <w:p>
      <w:pPr>
        <w:pStyle w:val="ListBullet"/>
        <w:spacing w:after="60"/>
        <w:ind w:left="0"/>
      </w:pPr>
      <w:r>
        <w:rPr>
          <w:rFonts w:ascii="Arial" w:hAnsi="Arial"/>
          <w:color w:val="24313A"/>
        </w:rPr>
        <w:t>Attempt to make the system misread exceptions, cross-references, nested negatives, tables, and definitions.</w:t>
      </w:r>
    </w:p>
    <w:p>
      <w:pPr>
        <w:pStyle w:val="ListBullet"/>
        <w:spacing w:after="60"/>
        <w:ind w:left="0"/>
      </w:pPr>
      <w:r>
        <w:rPr>
          <w:rFonts w:ascii="Arial" w:hAnsi="Arial"/>
          <w:color w:val="24313A"/>
        </w:rPr>
        <w:t>Test politically sensitive provisions for uneven error patterns and framing bias.</w:t>
      </w:r>
    </w:p>
    <w:p>
      <w:pPr>
        <w:pStyle w:val="ListBullet"/>
        <w:spacing w:after="60"/>
        <w:ind w:left="0"/>
      </w:pPr>
      <w:r>
        <w:rPr>
          <w:rFonts w:ascii="Arial" w:hAnsi="Arial"/>
          <w:color w:val="24313A"/>
        </w:rPr>
        <w:t>Create synthetic carve-outs and entity structures to measure flag recall and false positives.</w:t>
      </w:r>
    </w:p>
    <w:p>
      <w:pPr>
        <w:pStyle w:val="ListBullet"/>
        <w:spacing w:after="60"/>
        <w:ind w:left="0"/>
      </w:pPr>
      <w:r>
        <w:rPr>
          <w:rFonts w:ascii="Arial" w:hAnsi="Arial"/>
          <w:color w:val="24313A"/>
        </w:rPr>
        <w:t>Challenge plain-language summaries for omission, loaded wording, and certainty inflation.</w:t>
      </w:r>
    </w:p>
    <w:p>
      <w:pPr>
        <w:pStyle w:val="ListBullet"/>
        <w:spacing w:after="60"/>
        <w:ind w:left="0"/>
      </w:pPr>
      <w:r>
        <w:rPr>
          <w:rFonts w:ascii="Arial" w:hAnsi="Arial"/>
          <w:color w:val="24313A"/>
        </w:rPr>
        <w:t>Test whether adversarial public submissions can contaminate evidence or search responses.</w:t>
      </w:r>
    </w:p>
    <w:p>
      <w:bookmarkStart w:id="140" w:name="governance"/>
      <w:pPr>
        <w:pStyle w:val="Heading1"/>
      </w:pPr>
      <w:r>
        <w:t>14. Governance, independence, and corrections</w:t>
      </w:r>
      <w:bookmarkEnd w:id="140"/>
    </w:p>
    <w:p>
      <w:pPr>
        <w:pStyle w:val="Heading2"/>
      </w:pPr>
      <w:r>
        <w:t>14.1 Organizational independence</w:t>
      </w:r>
    </w:p>
    <w:p>
      <w:pPr>
        <w:spacing w:after="120" w:line="259" w:lineRule="auto"/>
      </w:pPr>
      <w:r>
        <w:rPr>
          <w:rFonts w:ascii="Arial" w:hAnsi="Arial"/>
          <w:color w:val="24313A"/>
          <w:sz w:val="19"/>
        </w:rPr>
        <w:t>Credibility requires governance that can withstand pressure from funders, parties, industries, advocates, and government. Funding and partnerships should be disclosed, diversified, and structurally separated from analytical conclusions.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880"/>
            <w:shd w:fill="17324D"/>
            <w:tcMar>
              <w:top w:w="90" w:type="dxa"/>
              <w:start w:w="90" w:type="dxa"/>
              <w:bottom w:w="90" w:type="dxa"/>
              <w:end w:w="90" w:type="dxa"/>
            </w:tcMar>
            <w:vAlign w:val="center"/>
          </w:tcPr>
          <w:p>
            <w:pPr>
              <w:jc w:val="left"/>
            </w:pPr>
            <w:r>
              <w:rPr>
                <w:rFonts w:ascii="Arial" w:hAnsi="Arial"/>
                <w:b/>
                <w:color w:val="FFFFFF"/>
                <w:sz w:val="16"/>
              </w:rPr>
              <w:t>Body</w:t>
            </w:r>
          </w:p>
        </w:tc>
        <w:tc>
          <w:tcPr>
            <w:tcW w:type="dxa" w:w="6624"/>
            <w:shd w:fill="17324D"/>
            <w:tcMar>
              <w:top w:w="90" w:type="dxa"/>
              <w:start w:w="90" w:type="dxa"/>
              <w:bottom w:w="90" w:type="dxa"/>
              <w:end w:w="90" w:type="dxa"/>
            </w:tcMar>
            <w:vAlign w:val="center"/>
          </w:tcPr>
          <w:p>
            <w:pPr>
              <w:jc w:val="left"/>
            </w:pPr>
            <w:r>
              <w:rPr>
                <w:rFonts w:ascii="Arial" w:hAnsi="Arial"/>
                <w:b/>
                <w:color w:val="FFFFFF"/>
                <w:sz w:val="16"/>
              </w:rPr>
              <w:t>Responsibility</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6"/>
              </w:rPr>
              <w:t>Governing board</w:t>
            </w:r>
          </w:p>
        </w:tc>
        <w:tc>
          <w:tcPr>
            <w:tcW w:type="dxa" w:w="6624"/>
            <w:tcMar>
              <w:top w:w="75" w:type="dxa"/>
              <w:start w:w="85" w:type="dxa"/>
              <w:bottom w:w="75" w:type="dxa"/>
              <w:end w:w="85" w:type="dxa"/>
            </w:tcMar>
            <w:vAlign w:val="top"/>
          </w:tcPr>
          <w:p>
            <w:pPr>
              <w:spacing w:after="0"/>
            </w:pPr>
            <w:r>
              <w:rPr>
                <w:rFonts w:ascii="Arial" w:hAnsi="Arial"/>
                <w:color w:val="24313A"/>
                <w:sz w:val="16"/>
              </w:rPr>
              <w:t>Mission, fiduciary oversight, executive selection, conflict policy, funding transparency, and independence safeguards.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6"/>
              </w:rPr>
              <w:t>Methods council</w:t>
            </w:r>
          </w:p>
        </w:tc>
        <w:tc>
          <w:tcPr>
            <w:tcW w:type="dxa" w:w="6624"/>
            <w:shd w:fill="F7F9FA"/>
            <w:tcMar>
              <w:top w:w="75" w:type="dxa"/>
              <w:start w:w="85" w:type="dxa"/>
              <w:bottom w:w="75" w:type="dxa"/>
              <w:end w:w="85" w:type="dxa"/>
            </w:tcMar>
            <w:vAlign w:val="top"/>
          </w:tcPr>
          <w:p>
            <w:pPr>
              <w:spacing w:after="0"/>
            </w:pPr>
            <w:r>
              <w:rPr>
                <w:rFonts w:ascii="Arial" w:hAnsi="Arial"/>
                <w:color w:val="24313A"/>
                <w:sz w:val="16"/>
              </w:rPr>
              <w:t>Approves analytical standards, model changes, uncertainty policy, and external replication priorities.</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6"/>
              </w:rPr>
              <w:t>Editorial standards committee</w:t>
            </w:r>
          </w:p>
        </w:tc>
        <w:tc>
          <w:tcPr>
            <w:tcW w:type="dxa" w:w="6624"/>
            <w:tcMar>
              <w:top w:w="75" w:type="dxa"/>
              <w:start w:w="85" w:type="dxa"/>
              <w:bottom w:w="75" w:type="dxa"/>
              <w:end w:w="85" w:type="dxa"/>
            </w:tcMar>
            <w:vAlign w:val="top"/>
          </w:tcPr>
          <w:p>
            <w:pPr>
              <w:spacing w:after="0"/>
            </w:pPr>
            <w:r>
              <w:rPr>
                <w:rFonts w:ascii="Arial" w:hAnsi="Arial"/>
                <w:color w:val="24313A"/>
                <w:sz w:val="16"/>
              </w:rPr>
              <w:t>Plain-language, labeling, headlines, corrections, and separation of analysis from commentary.</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6"/>
              </w:rPr>
              <w:t>Technical architecture group</w:t>
            </w:r>
          </w:p>
        </w:tc>
        <w:tc>
          <w:tcPr>
            <w:tcW w:type="dxa" w:w="6624"/>
            <w:shd w:fill="F7F9FA"/>
            <w:tcMar>
              <w:top w:w="75" w:type="dxa"/>
              <w:start w:w="85" w:type="dxa"/>
              <w:bottom w:w="75" w:type="dxa"/>
              <w:end w:w="85" w:type="dxa"/>
            </w:tcMar>
            <w:vAlign w:val="top"/>
          </w:tcPr>
          <w:p>
            <w:r>
              <w:t>Security, reliability, schema governance, data retention, interoperability, and platform evolution.</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6"/>
              </w:rPr>
              <w:t>Public advisory panel</w:t>
            </w:r>
          </w:p>
        </w:tc>
        <w:tc>
          <w:tcPr>
            <w:tcW w:type="dxa" w:w="6624"/>
            <w:tcMar>
              <w:top w:w="75" w:type="dxa"/>
              <w:start w:w="85" w:type="dxa"/>
              <w:bottom w:w="75" w:type="dxa"/>
              <w:end w:w="85" w:type="dxa"/>
            </w:tcMar>
            <w:vAlign w:val="top"/>
          </w:tcPr>
          <w:p>
            <w:pPr>
              <w:spacing w:after="0"/>
            </w:pPr>
            <w:r>
              <w:rPr>
                <w:rFonts w:ascii="Arial" w:hAnsi="Arial"/>
                <w:color w:val="24313A"/>
                <w:sz w:val="16"/>
              </w:rPr>
              <w:t>Citizen usability, accessibility, community impacts, and trust concerns.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6"/>
              </w:rPr>
              <w:t>Ombuds / corrections officer</w:t>
            </w:r>
          </w:p>
        </w:tc>
        <w:tc>
          <w:tcPr>
            <w:tcW w:type="dxa" w:w="6624"/>
            <w:shd w:fill="F7F9FA"/>
            <w:tcMar>
              <w:top w:w="75" w:type="dxa"/>
              <w:start w:w="85" w:type="dxa"/>
              <w:bottom w:w="75" w:type="dxa"/>
              <w:end w:w="85" w:type="dxa"/>
            </w:tcMar>
            <w:vAlign w:val="top"/>
          </w:tcPr>
          <w:p>
            <w:pPr>
              <w:spacing w:after="0"/>
            </w:pPr>
            <w:r>
              <w:rPr>
                <w:rFonts w:ascii="Arial" w:hAnsi="Arial"/>
                <w:color w:val="24313A"/>
                <w:sz w:val="16"/>
              </w:rPr>
              <w:t>Independent intake, investigation, response deadlines, correction decisions, and appeals.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6"/>
              </w:rPr>
              <w:t>Perspective standards panel</w:t>
            </w:r>
          </w:p>
        </w:tc>
        <w:tc>
          <w:tcPr>
            <w:tcW w:type="dxa" w:w="6624"/>
            <w:shd w:fill="F7F9FA"/>
            <w:tcMar>
              <w:top w:w="75" w:type="dxa"/>
              <w:start w:w="85" w:type="dxa"/>
              <w:bottom w:w="75" w:type="dxa"/>
              <w:end w:w="85" w:type="dxa"/>
            </w:tcMar>
            <w:vAlign w:val="top"/>
          </w:tcPr>
          <w:p>
            <w:pPr>
              <w:spacing w:after="0"/>
            </w:pPr>
            <w:r>
              <w:rPr>
                <w:rFonts w:ascii="Arial" w:hAnsi="Arial"/>
                <w:color w:val="24313A"/>
                <w:sz w:val="16"/>
              </w:rPr>
              <w:t>Approves profile schema and invariance rules, reviews institution-authored profiles, and prevents hidden partisan or donor-controlled assumptions.</w:t>
            </w:r>
          </w:p>
        </w:tc>
      </w:tr>
    </w:tbl>
    <w:p>
      <w:pPr>
        <w:pStyle w:val="Heading2"/>
      </w:pPr>
      <w:r>
        <w:t>14.2 Conflicts of interest</w:t>
      </w:r>
    </w:p>
    <w:p>
      <w:pPr>
        <w:pStyle w:val="ListBullet"/>
        <w:spacing w:after="60"/>
        <w:ind w:left="0"/>
      </w:pPr>
      <w:r>
        <w:rPr>
          <w:rFonts w:ascii="Arial" w:hAnsi="Arial"/>
          <w:color w:val="24313A"/>
        </w:rPr>
        <w:t>Annual and matter-specific disclosures for board members, employees, contractors, reviewers, and major funders.</w:t>
      </w:r>
    </w:p>
    <w:p>
      <w:pPr>
        <w:pStyle w:val="ListBullet"/>
        <w:spacing w:after="60"/>
        <w:ind w:left="0"/>
      </w:pPr>
      <w:r>
        <w:rPr>
          <w:rFonts w:ascii="Arial" w:hAnsi="Arial"/>
          <w:color w:val="24313A"/>
        </w:rPr>
        <w:t>Recusal rules for direct financial, employment, lobbying, litigation, or close personal interests.</w:t>
      </w:r>
    </w:p>
    <w:p>
      <w:pPr>
        <w:pStyle w:val="ListBullet"/>
        <w:spacing w:after="60"/>
        <w:ind w:left="0"/>
      </w:pPr>
      <w:r>
        <w:rPr>
          <w:rFonts w:ascii="Arial" w:hAnsi="Arial"/>
          <w:color w:val="24313A"/>
        </w:rPr>
        <w:t>Public disclosure of material conflicts attached to analyses when specialist expertise is still necessary.</w:t>
      </w:r>
    </w:p>
    <w:p>
      <w:pPr>
        <w:pStyle w:val="ListBullet"/>
        <w:spacing w:after="60"/>
        <w:ind w:left="0"/>
      </w:pPr>
      <w:r>
        <w:rPr>
          <w:rFonts w:ascii="Arial" w:hAnsi="Arial"/>
          <w:color w:val="24313A"/>
        </w:rPr>
        <w:t>No donor or partner prepublication control over findings.</w:t>
      </w:r>
    </w:p>
    <w:p>
      <w:pPr>
        <w:pStyle w:val="ListBullet"/>
        <w:spacing w:after="60"/>
        <w:ind w:left="0"/>
      </w:pPr>
      <w:r>
        <w:rPr>
          <w:rFonts w:ascii="Arial" w:hAnsi="Arial"/>
          <w:color w:val="24313A"/>
        </w:rPr>
        <w:t>No undisclosed paid placement, sponsored ranking, or beneficiary suppression.</w:t>
      </w:r>
    </w:p>
    <w:p>
      <w:pPr>
        <w:pStyle w:val="Heading2"/>
      </w:pPr>
      <w:r>
        <w:t>14.3 Corrections policy</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160"/>
            <w:shd w:fill="17324D"/>
            <w:tcMar>
              <w:top w:w="90" w:type="dxa"/>
              <w:start w:w="90" w:type="dxa"/>
              <w:bottom w:w="90" w:type="dxa"/>
              <w:end w:w="90" w:type="dxa"/>
            </w:tcMar>
            <w:vAlign w:val="center"/>
          </w:tcPr>
          <w:p>
            <w:pPr>
              <w:jc w:val="left"/>
            </w:pPr>
            <w:r>
              <w:rPr>
                <w:rFonts w:ascii="Arial" w:hAnsi="Arial"/>
                <w:b/>
                <w:color w:val="FFFFFF"/>
                <w:sz w:val="16"/>
              </w:rPr>
              <w:t>Severity</w:t>
            </w:r>
          </w:p>
        </w:tc>
        <w:tc>
          <w:tcPr>
            <w:tcW w:type="dxa" w:w="7344"/>
            <w:shd w:fill="17324D"/>
            <w:tcMar>
              <w:top w:w="90" w:type="dxa"/>
              <w:start w:w="90" w:type="dxa"/>
              <w:bottom w:w="90" w:type="dxa"/>
              <w:end w:w="90" w:type="dxa"/>
            </w:tcMar>
            <w:vAlign w:val="center"/>
          </w:tcPr>
          <w:p>
            <w:pPr>
              <w:jc w:val="left"/>
            </w:pPr>
            <w:r>
              <w:rPr>
                <w:rFonts w:ascii="Arial" w:hAnsi="Arial"/>
                <w:b/>
                <w:color w:val="FFFFFF"/>
                <w:sz w:val="16"/>
              </w:rPr>
              <w:t>Response</w:t>
            </w:r>
          </w:p>
        </w:tc>
      </w:tr>
      <w:tr>
        <w:trPr>
          <w:cantSplit/>
        </w:trPr>
        <w:tc>
          <w:tcPr>
            <w:tcW w:type="dxa" w:w="2160"/>
            <w:tcMar>
              <w:top w:w="75" w:type="dxa"/>
              <w:start w:w="85" w:type="dxa"/>
              <w:bottom w:w="75" w:type="dxa"/>
              <w:end w:w="85" w:type="dxa"/>
            </w:tcMar>
            <w:vAlign w:val="top"/>
          </w:tcPr>
          <w:p>
            <w:pPr>
              <w:spacing w:after="0"/>
            </w:pPr>
            <w:r>
              <w:rPr>
                <w:rFonts w:ascii="Arial" w:hAnsi="Arial"/>
                <w:color w:val="24313A"/>
                <w:sz w:val="16"/>
              </w:rPr>
              <w:t>Cosmetic</w:t>
            </w:r>
          </w:p>
        </w:tc>
        <w:tc>
          <w:tcPr>
            <w:tcW w:type="dxa" w:w="7344"/>
            <w:tcMar>
              <w:top w:w="75" w:type="dxa"/>
              <w:start w:w="85" w:type="dxa"/>
              <w:bottom w:w="75" w:type="dxa"/>
              <w:end w:w="85" w:type="dxa"/>
            </w:tcMar>
            <w:vAlign w:val="top"/>
          </w:tcPr>
          <w:p>
            <w:pPr>
              <w:spacing w:after="0"/>
            </w:pPr>
            <w:r>
              <w:rPr>
                <w:rFonts w:ascii="Arial" w:hAnsi="Arial"/>
                <w:color w:val="24313A"/>
                <w:sz w:val="16"/>
              </w:rPr>
              <w:t>Correct display or wording without changing meaning; note in internal log.</w:t>
            </w:r>
          </w:p>
        </w:tc>
      </w:tr>
      <w:tr>
        <w:trPr>
          <w:cantSplit/>
        </w:trPr>
        <w:tc>
          <w:tcPr>
            <w:tcW w:type="dxa" w:w="2160"/>
            <w:shd w:fill="F7F9FA"/>
            <w:tcMar>
              <w:top w:w="75" w:type="dxa"/>
              <w:start w:w="85" w:type="dxa"/>
              <w:bottom w:w="75" w:type="dxa"/>
              <w:end w:w="85" w:type="dxa"/>
            </w:tcMar>
            <w:vAlign w:val="top"/>
          </w:tcPr>
          <w:p>
            <w:pPr>
              <w:spacing w:after="0"/>
            </w:pPr>
            <w:r>
              <w:rPr>
                <w:rFonts w:ascii="Arial" w:hAnsi="Arial"/>
                <w:color w:val="24313A"/>
                <w:sz w:val="16"/>
              </w:rPr>
              <w:t>Clarification</w:t>
            </w:r>
          </w:p>
        </w:tc>
        <w:tc>
          <w:tcPr>
            <w:tcW w:type="dxa" w:w="7344"/>
            <w:shd w:fill="F7F9FA"/>
            <w:tcMar>
              <w:top w:w="75" w:type="dxa"/>
              <w:start w:w="85" w:type="dxa"/>
              <w:bottom w:w="75" w:type="dxa"/>
              <w:end w:w="85" w:type="dxa"/>
            </w:tcMar>
            <w:vAlign w:val="top"/>
          </w:tcPr>
          <w:p>
            <w:pPr>
              <w:spacing w:after="0"/>
            </w:pPr>
            <w:r>
              <w:rPr>
                <w:rFonts w:ascii="Arial" w:hAnsi="Arial"/>
                <w:color w:val="24313A"/>
                <w:sz w:val="16"/>
              </w:rPr>
              <w:t>Update ambiguous explanation; visible change note on report.</w:t>
            </w:r>
          </w:p>
        </w:tc>
      </w:tr>
      <w:tr>
        <w:trPr>
          <w:cantSplit/>
        </w:trPr>
        <w:tc>
          <w:tcPr>
            <w:tcW w:type="dxa" w:w="2160"/>
            <w:tcMar>
              <w:top w:w="75" w:type="dxa"/>
              <w:start w:w="85" w:type="dxa"/>
              <w:bottom w:w="75" w:type="dxa"/>
              <w:end w:w="85" w:type="dxa"/>
            </w:tcMar>
            <w:vAlign w:val="top"/>
          </w:tcPr>
          <w:p>
            <w:pPr>
              <w:spacing w:after="0"/>
            </w:pPr>
            <w:r>
              <w:rPr>
                <w:rFonts w:ascii="Arial" w:hAnsi="Arial"/>
                <w:color w:val="24313A"/>
                <w:sz w:val="16"/>
              </w:rPr>
              <w:t>Material analytical</w:t>
            </w:r>
          </w:p>
        </w:tc>
        <w:tc>
          <w:tcPr>
            <w:tcW w:type="dxa" w:w="7344"/>
            <w:tcMar>
              <w:top w:w="75" w:type="dxa"/>
              <w:start w:w="85" w:type="dxa"/>
              <w:bottom w:w="75" w:type="dxa"/>
              <w:end w:w="85" w:type="dxa"/>
            </w:tcMar>
            <w:vAlign w:val="top"/>
          </w:tcPr>
          <w:p>
            <w:pPr>
              <w:spacing w:after="0"/>
            </w:pPr>
            <w:r>
              <w:rPr>
                <w:rFonts w:ascii="Arial" w:hAnsi="Arial"/>
                <w:color w:val="24313A"/>
                <w:sz w:val="16"/>
              </w:rPr>
              <w:t>Result, subgroup, direction, confidence, or key narrative changes; prominent correction notice and subscriber alert.</w:t>
            </w:r>
          </w:p>
        </w:tc>
      </w:tr>
      <w:tr>
        <w:trPr>
          <w:cantSplit/>
        </w:trPr>
        <w:tc>
          <w:tcPr>
            <w:tcW w:type="dxa" w:w="2160"/>
            <w:shd w:fill="F7F9FA"/>
            <w:tcMar>
              <w:top w:w="75" w:type="dxa"/>
              <w:start w:w="85" w:type="dxa"/>
              <w:bottom w:w="75" w:type="dxa"/>
              <w:end w:w="85" w:type="dxa"/>
            </w:tcMar>
            <w:vAlign w:val="top"/>
          </w:tcPr>
          <w:p>
            <w:pPr>
              <w:spacing w:after="0"/>
            </w:pPr>
            <w:r>
              <w:rPr>
                <w:rFonts w:ascii="Arial" w:hAnsi="Arial"/>
                <w:color w:val="24313A"/>
                <w:sz w:val="16"/>
              </w:rPr>
              <w:t>Source integrity</w:t>
            </w:r>
          </w:p>
        </w:tc>
        <w:tc>
          <w:tcPr>
            <w:tcW w:type="dxa" w:w="7344"/>
            <w:shd w:fill="F7F9FA"/>
            <w:tcMar>
              <w:top w:w="75" w:type="dxa"/>
              <w:start w:w="85" w:type="dxa"/>
              <w:bottom w:w="75" w:type="dxa"/>
              <w:end w:w="85" w:type="dxa"/>
            </w:tcMar>
            <w:vAlign w:val="top"/>
          </w:tcPr>
          <w:p>
            <w:pPr>
              <w:spacing w:after="0"/>
            </w:pPr>
            <w:r>
              <w:rPr>
                <w:rFonts w:ascii="Arial" w:hAnsi="Arial"/>
                <w:color w:val="24313A"/>
                <w:sz w:val="16"/>
              </w:rPr>
              <w:t>Wrong version, corrupted source, missing provision, or provenance failure; suspend affected findings until rerun.</w:t>
            </w:r>
          </w:p>
        </w:tc>
      </w:tr>
      <w:tr>
        <w:trPr>
          <w:cantSplit/>
        </w:trPr>
        <w:tc>
          <w:tcPr>
            <w:tcW w:type="dxa" w:w="2160"/>
            <w:tcMar>
              <w:top w:w="75" w:type="dxa"/>
              <w:start w:w="85" w:type="dxa"/>
              <w:bottom w:w="75" w:type="dxa"/>
              <w:end w:w="85" w:type="dxa"/>
            </w:tcMar>
            <w:vAlign w:val="top"/>
          </w:tcPr>
          <w:p>
            <w:pPr>
              <w:spacing w:after="0"/>
            </w:pPr>
            <w:r>
              <w:rPr>
                <w:rFonts w:ascii="Arial" w:hAnsi="Arial"/>
                <w:color w:val="24313A"/>
                <w:sz w:val="16"/>
              </w:rPr>
              <w:t>Systemic</w:t>
            </w:r>
          </w:p>
        </w:tc>
        <w:tc>
          <w:tcPr>
            <w:tcW w:type="dxa" w:w="7344"/>
            <w:tcMar>
              <w:top w:w="75" w:type="dxa"/>
              <w:start w:w="85" w:type="dxa"/>
              <w:bottom w:w="75" w:type="dxa"/>
              <w:end w:w="85" w:type="dxa"/>
            </w:tcMar>
            <w:vAlign w:val="top"/>
          </w:tcPr>
          <w:p>
            <w:pPr>
              <w:spacing w:after="0"/>
            </w:pPr>
            <w:r>
              <w:rPr>
                <w:rFonts w:ascii="Arial" w:hAnsi="Arial"/>
                <w:color w:val="24313A"/>
                <w:sz w:val="16"/>
              </w:rPr>
              <w:t>Model, parser, or governance defect affects multiple reports; public incident report, affected-report inventory, remediation, and independent review.</w:t>
            </w:r>
          </w:p>
        </w:tc>
      </w:tr>
    </w:tbl>
    <w:p>
      <w:bookmarkStart w:id="150" w:name="security"/>
      <w:pPr>
        <w:pStyle w:val="Heading1"/>
      </w:pPr>
      <w:r>
        <w:t>15. Security, privacy, and accessibility</w:t>
      </w:r>
      <w:bookmarkEnd w:id="150"/>
    </w:p>
    <w:p>
      <w:pPr>
        <w:pStyle w:val="Heading2"/>
      </w:pPr>
      <w:r>
        <w:t>15.1 Security objectives</w:t>
      </w:r>
    </w:p>
    <w:p>
      <w:pPr>
        <w:pStyle w:val="ListBullet"/>
        <w:spacing w:after="60"/>
        <w:ind w:left="0"/>
      </w:pPr>
      <w:r>
        <w:rPr>
          <w:rFonts w:ascii="Arial" w:hAnsi="Arial"/>
          <w:color w:val="24313A"/>
        </w:rPr>
        <w:t>Protect source, analysis, AI Decision Ledger, perspective profiles, validation evidence, and publication-state integrity from tampering.</w:t>
      </w:r>
    </w:p>
    <w:p>
      <w:pPr>
        <w:pStyle w:val="ListBullet"/>
        <w:spacing w:after="60"/>
        <w:ind w:left="0"/>
      </w:pPr>
      <w:r>
        <w:rPr>
          <w:rFonts w:ascii="Arial" w:hAnsi="Arial"/>
          <w:color w:val="24313A"/>
        </w:rPr>
        <w:t>Prevent unauthorized prepublication changes and preserve reviewer accountability.</w:t>
      </w:r>
    </w:p>
    <w:p>
      <w:pPr>
        <w:pStyle w:val="ListBullet"/>
        <w:spacing w:after="60"/>
        <w:ind w:left="0"/>
      </w:pPr>
      <w:r>
        <w:rPr>
          <w:rFonts w:ascii="Arial" w:hAnsi="Arial"/>
          <w:color w:val="24313A"/>
        </w:rPr>
        <w:t>Secure API keys, source credentials, personal accounts, and private review materials.</w:t>
      </w:r>
    </w:p>
    <w:p>
      <w:pPr>
        <w:pStyle w:val="ListBullet"/>
        <w:spacing w:after="60"/>
        <w:ind w:left="0"/>
      </w:pPr>
      <w:r>
        <w:rPr>
          <w:rFonts w:ascii="Arial" w:hAnsi="Arial"/>
          <w:color w:val="24313A"/>
        </w:rPr>
        <w:t>Maintain availability during high-interest legislative events.</w:t>
      </w:r>
    </w:p>
    <w:p>
      <w:pPr>
        <w:pStyle w:val="ListBullet"/>
        <w:spacing w:after="60"/>
        <w:ind w:left="0"/>
      </w:pPr>
      <w:r>
        <w:rPr>
          <w:rFonts w:ascii="Arial" w:hAnsi="Arial"/>
          <w:color w:val="24313A"/>
        </w:rPr>
        <w:t>Recover source snapshots, models, audit logs, and publications after failure or attack.</w:t>
      </w:r>
    </w:p>
    <w:p>
      <w:pPr>
        <w:pStyle w:val="ListBullet"/>
        <w:spacing w:after="60"/>
        <w:ind w:left="0"/>
      </w:pPr>
      <w:r>
        <w:rPr>
          <w:rFonts w:ascii="Arial" w:hAnsi="Arial"/>
          <w:color w:val="24313A"/>
        </w:rPr>
        <w:t>Use signed builds, dependency controls, and isolated execution for external files and analytical jobs.</w:t>
      </w:r>
    </w:p>
    <w:p>
      <w:pPr>
        <w:pStyle w:val="Heading2"/>
      </w:pPr>
      <w:r>
        <w:t>15.2 Privacy</w:t>
      </w:r>
    </w:p>
    <w:p>
      <w:pPr>
        <w:spacing w:after="120" w:line="259" w:lineRule="auto"/>
      </w:pPr>
      <w:r>
        <w:t>The public platform should not require sensitive personal data to explain legislation. For the POC, custom household calculations execute entirely in the browser and user-entered values must not be transmitted to application servers, cloud databases, analytics, crash reporting, session replay, or third-party scripts. Local persistence is opt-in and visibly clearable. Analyst access to restricted microdata, if ever used, requires a separate controlled environment, data-use agreements, purpose limitation, access logging, and independent privacy review.</w:t>
      </w:r>
    </w:p>
    <w:p>
      <w:pPr>
        <w:pStyle w:val="ListBullet"/>
      </w:pPr>
      <w:r>
        <w:t>Do not request names, exact addresses, Social Security numbers, account numbers, tax-return uploads, or other identifiers unnecessary for the calculation.</w:t>
      </w:r>
    </w:p>
    <w:p>
      <w:pPr>
        <w:pStyle w:val="ListBullet"/>
      </w:pPr>
      <w:r>
        <w:t>Use coarse categories and representative profiles whenever they can answer the question without custom data.</w:t>
      </w:r>
    </w:p>
    <w:p>
      <w:pPr>
        <w:pStyle w:val="ListBullet"/>
      </w:pPr>
      <w:r>
        <w:t>Prevent calculator-state access by third-party scripts and prohibit telemetry fields derived from user-entered values.</w:t>
      </w:r>
    </w:p>
    <w:p>
      <w:pPr>
        <w:pStyle w:val="ListBullet"/>
      </w:pPr>
      <w:r>
        <w:t>Provide a visible “Clear local data” control and disclose whether any browser storage is active.</w:t>
      </w:r>
    </w:p>
    <w:p>
      <w:pPr>
        <w:pStyle w:val="ListBullet"/>
      </w:pPr>
      <w:r>
        <w:t>Run automated network-egress, dependency, logging, and error-reporting tests before each release.</w:t>
      </w:r>
    </w:p>
    <w:p>
      <w:pPr>
        <w:pStyle w:val="Heading2"/>
      </w:pPr>
      <w:r>
        <w:t>15.3 Accessibility and plain language</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088"/>
            <w:shd w:fill="17324D"/>
            <w:tcMar>
              <w:top w:w="90" w:type="dxa"/>
              <w:start w:w="90" w:type="dxa"/>
              <w:bottom w:w="90" w:type="dxa"/>
              <w:end w:w="90" w:type="dxa"/>
            </w:tcMar>
            <w:vAlign w:val="center"/>
          </w:tcPr>
          <w:p>
            <w:pPr>
              <w:jc w:val="left"/>
            </w:pPr>
            <w:r>
              <w:rPr>
                <w:rFonts w:ascii="Arial" w:hAnsi="Arial"/>
                <w:b/>
                <w:color w:val="FFFFFF"/>
                <w:sz w:val="16"/>
              </w:rPr>
              <w:t>Requirement</w:t>
            </w:r>
          </w:p>
        </w:tc>
        <w:tc>
          <w:tcPr>
            <w:tcW w:type="dxa" w:w="7416"/>
            <w:shd w:fill="17324D"/>
            <w:tcMar>
              <w:top w:w="90" w:type="dxa"/>
              <w:start w:w="90" w:type="dxa"/>
              <w:bottom w:w="90" w:type="dxa"/>
              <w:end w:w="90" w:type="dxa"/>
            </w:tcMar>
            <w:vAlign w:val="center"/>
          </w:tcPr>
          <w:p>
            <w:pPr>
              <w:jc w:val="left"/>
            </w:pPr>
            <w:r>
              <w:rPr>
                <w:rFonts w:ascii="Arial" w:hAnsi="Arial"/>
                <w:b/>
                <w:color w:val="FFFFFF"/>
                <w:sz w:val="16"/>
              </w:rPr>
              <w:t>Standard</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6"/>
              </w:rPr>
              <w:t>Digital accessibility</w:t>
            </w:r>
          </w:p>
        </w:tc>
        <w:tc>
          <w:tcPr>
            <w:tcW w:type="dxa" w:w="7416"/>
            <w:tcMar>
              <w:top w:w="75" w:type="dxa"/>
              <w:start w:w="85" w:type="dxa"/>
              <w:bottom w:w="75" w:type="dxa"/>
              <w:end w:w="85" w:type="dxa"/>
            </w:tcMar>
            <w:vAlign w:val="top"/>
          </w:tcPr>
          <w:p>
            <w:pPr>
              <w:spacing w:after="0"/>
            </w:pPr>
            <w:r>
              <w:rPr>
                <w:rFonts w:ascii="Arial" w:hAnsi="Arial"/>
                <w:color w:val="24313A"/>
                <w:sz w:val="16"/>
              </w:rPr>
              <w:t>Target WCAG 2.2 AA and Section 508-compatible patterns.</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6"/>
              </w:rPr>
              <w:t>Documents and data</w:t>
            </w:r>
          </w:p>
        </w:tc>
        <w:tc>
          <w:tcPr>
            <w:tcW w:type="dxa" w:w="7416"/>
            <w:shd w:fill="F7F9FA"/>
            <w:tcMar>
              <w:top w:w="75" w:type="dxa"/>
              <w:start w:w="85" w:type="dxa"/>
              <w:bottom w:w="75" w:type="dxa"/>
              <w:end w:w="85" w:type="dxa"/>
            </w:tcMar>
            <w:vAlign w:val="top"/>
          </w:tcPr>
          <w:p>
            <w:pPr>
              <w:spacing w:after="0"/>
            </w:pPr>
            <w:r>
              <w:rPr>
                <w:rFonts w:ascii="Arial" w:hAnsi="Arial"/>
                <w:color w:val="24313A"/>
                <w:sz w:val="16"/>
              </w:rPr>
              <w:t>Tagged PDFs where published, structured HTML, accessible tables, text alternatives, and CSV/JSON exports.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6"/>
              </w:rPr>
              <w:t>Charts</w:t>
            </w:r>
          </w:p>
        </w:tc>
        <w:tc>
          <w:tcPr>
            <w:tcW w:type="dxa" w:w="7416"/>
            <w:tcMar>
              <w:top w:w="75" w:type="dxa"/>
              <w:start w:w="85" w:type="dxa"/>
              <w:bottom w:w="75" w:type="dxa"/>
              <w:end w:w="85" w:type="dxa"/>
            </w:tcMar>
            <w:vAlign w:val="top"/>
          </w:tcPr>
          <w:p>
            <w:pPr>
              <w:spacing w:after="0"/>
            </w:pPr>
            <w:r>
              <w:rPr>
                <w:rFonts w:ascii="Arial" w:hAnsi="Arial"/>
                <w:color w:val="24313A"/>
                <w:sz w:val="16"/>
              </w:rPr>
              <w:t>Never rely on color alone; include labels, table equivalents, units, population, and uncertainty.</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6"/>
              </w:rPr>
              <w:t>Reading level</w:t>
            </w:r>
          </w:p>
        </w:tc>
        <w:tc>
          <w:tcPr>
            <w:tcW w:type="dxa" w:w="7416"/>
            <w:shd w:fill="F7F9FA"/>
            <w:tcMar>
              <w:top w:w="75" w:type="dxa"/>
              <w:start w:w="85" w:type="dxa"/>
              <w:bottom w:w="75" w:type="dxa"/>
              <w:end w:w="85" w:type="dxa"/>
            </w:tcMar>
            <w:vAlign w:val="top"/>
          </w:tcPr>
          <w:p>
            <w:pPr>
              <w:spacing w:after="0"/>
            </w:pPr>
            <w:r>
              <w:rPr>
                <w:rFonts w:ascii="Arial" w:hAnsi="Arial"/>
                <w:color w:val="24313A"/>
                <w:sz w:val="16"/>
              </w:rPr>
              <w:t>Plain-language summaries around an eighth- to tenth-grade reading level when precision allows; preserve legal and technical detail in expandable layers.</w:t>
            </w:r>
          </w:p>
        </w:tc>
      </w:tr>
      <w:tr>
        <w:trPr>
          <w:cantSplit/>
        </w:trPr>
        <w:tc>
          <w:tcPr>
            <w:tcW w:type="dxa" w:w="2088"/>
            <w:tcMar>
              <w:top w:w="75" w:type="dxa"/>
              <w:start w:w="85" w:type="dxa"/>
              <w:bottom w:w="75" w:type="dxa"/>
              <w:end w:w="85" w:type="dxa"/>
            </w:tcMar>
            <w:vAlign w:val="top"/>
          </w:tcPr>
          <w:p>
            <w:pPr>
              <w:spacing w:after="0"/>
            </w:pPr>
            <w:r>
              <w:rPr>
                <w:rFonts w:ascii="Arial" w:hAnsi="Arial"/>
                <w:color w:val="24313A"/>
                <w:sz w:val="16"/>
              </w:rPr>
              <w:t>Jargon</w:t>
            </w:r>
          </w:p>
        </w:tc>
        <w:tc>
          <w:tcPr>
            <w:tcW w:type="dxa" w:w="7416"/>
            <w:tcMar>
              <w:top w:w="75" w:type="dxa"/>
              <w:start w:w="85" w:type="dxa"/>
              <w:bottom w:w="75" w:type="dxa"/>
              <w:end w:w="85" w:type="dxa"/>
            </w:tcMar>
            <w:vAlign w:val="top"/>
          </w:tcPr>
          <w:p>
            <w:pPr>
              <w:spacing w:after="0"/>
            </w:pPr>
            <w:r>
              <w:rPr>
                <w:rFonts w:ascii="Arial" w:hAnsi="Arial"/>
                <w:color w:val="24313A"/>
                <w:sz w:val="16"/>
              </w:rPr>
              <w:t>Every specialized term links to a stable glossary definition and examples.</w:t>
            </w:r>
          </w:p>
        </w:tc>
      </w:tr>
      <w:tr>
        <w:trPr>
          <w:cantSplit/>
        </w:trPr>
        <w:tc>
          <w:tcPr>
            <w:tcW w:type="dxa" w:w="2088"/>
            <w:shd w:fill="F7F9FA"/>
            <w:tcMar>
              <w:top w:w="75" w:type="dxa"/>
              <w:start w:w="85" w:type="dxa"/>
              <w:bottom w:w="75" w:type="dxa"/>
              <w:end w:w="85" w:type="dxa"/>
            </w:tcMar>
            <w:vAlign w:val="top"/>
          </w:tcPr>
          <w:p>
            <w:pPr>
              <w:spacing w:after="0"/>
            </w:pPr>
            <w:r>
              <w:rPr>
                <w:rFonts w:ascii="Arial" w:hAnsi="Arial"/>
                <w:color w:val="24313A"/>
                <w:sz w:val="16"/>
              </w:rPr>
              <w:t>Multilingual access</w:t>
            </w:r>
          </w:p>
        </w:tc>
        <w:tc>
          <w:tcPr>
            <w:tcW w:type="dxa" w:w="7416"/>
            <w:shd w:fill="F7F9FA"/>
            <w:tcMar>
              <w:top w:w="75" w:type="dxa"/>
              <w:start w:w="85" w:type="dxa"/>
              <w:bottom w:w="75" w:type="dxa"/>
              <w:end w:w="85" w:type="dxa"/>
            </w:tcMar>
            <w:vAlign w:val="top"/>
          </w:tcPr>
          <w:p>
            <w:pPr>
              <w:spacing w:after="0"/>
            </w:pPr>
            <w:r>
              <w:rPr>
                <w:rFonts w:ascii="Arial" w:hAnsi="Arial"/>
                <w:color w:val="24313A"/>
                <w:sz w:val="16"/>
              </w:rPr>
              <w:t>Architect content fields and review workflow for translation; avoid machine-only publication for high-impact content.</w:t>
            </w:r>
          </w:p>
        </w:tc>
      </w:tr>
    </w:tbl>
    <w:p>
      <w:bookmarkStart w:id="160" w:name="roadmap"/>
      <w:pPr>
        <w:pStyle w:val="Heading1"/>
      </w:pPr>
      <w:r>
        <w:t>16. MVP and phased roadmap</w:t>
      </w:r>
      <w:bookmarkEnd w:id="160"/>
    </w:p>
    <w:p>
      <w:pPr>
        <w:pStyle w:val="Heading2"/>
      </w:pPr>
      <w:r>
        <w:t>16.1 MVP thesis</w:t>
      </w:r>
    </w:p>
    <w:p>
      <w:pPr>
        <w:spacing w:after="120" w:line="259" w:lineRule="auto"/>
      </w:pPr>
      <w:r>
        <w:rPr>
          <w:rFonts w:ascii="Arial" w:hAnsi="Arial"/>
          <w:color w:val="24313A"/>
          <w:sz w:val="19"/>
        </w:rPr>
        <w:t>The MVP should prove trust and analytical traceability, not attempt universal policy modeling. Select a small number of consequential tax-and-benefit bills and support them deeply across versions.</w:t>
      </w:r>
    </w:p>
    <w:p>
      <w:pPr>
        <w:pStyle w:val="Heading2"/>
      </w:pPr>
      <w:r>
        <w:t>MVP capabilities</w:t>
      </w:r>
    </w:p>
    <w:p>
      <w:pPr>
        <w:pStyle w:val="ListBullet"/>
        <w:spacing w:after="60"/>
        <w:ind w:left="0"/>
      </w:pPr>
      <w:r>
        <w:rPr>
          <w:rFonts w:ascii="Arial" w:hAnsi="Arial"/>
          <w:color w:val="24313A"/>
        </w:rPr>
        <w:t>Ingest and version official bill text from Congress.gov/GovInfo.</w:t>
      </w:r>
    </w:p>
    <w:p>
      <w:pPr>
        <w:pStyle w:val="ListBullet"/>
        <w:spacing w:after="60"/>
        <w:ind w:left="0"/>
      </w:pPr>
      <w:r>
        <w:t>Compare consecutive versions and produce structural, deterministic amendment-operation, and semantic change records with explicit unresolved states.</w:t>
      </w:r>
    </w:p>
    <w:p>
      <w:pPr>
        <w:pStyle w:val="ListBullet"/>
        <w:spacing w:after="60"/>
        <w:ind w:left="0"/>
      </w:pPr>
      <w:r>
        <w:rPr>
          <w:rFonts w:ascii="Arial" w:hAnsi="Arial"/>
          <w:color w:val="24313A"/>
        </w:rPr>
        <w:t>Create automatically extracted provision and analysis-unit objects for selected tax and benefit domains, with risk-based exception review rather than universal approval.</w:t>
      </w:r>
    </w:p>
    <w:p>
      <w:pPr>
        <w:pStyle w:val="ListBullet"/>
        <w:spacing w:after="60"/>
        <w:ind w:left="0"/>
      </w:pPr>
      <w:r>
        <w:t>Run deterministic representative-household calculations for supported direct federal effects; execute custom POC profiles locally in the browser; add a weighted distribution model only if the exemplar proves data and validation readiness.</w:t>
      </w:r>
    </w:p>
    <w:p>
      <w:pPr>
        <w:pStyle w:val="ListBullet"/>
        <w:spacing w:after="60"/>
        <w:ind w:left="0"/>
      </w:pPr>
      <w:r>
        <w:t>Publish neutral narrow-benefit and targeted-provision indicators with evidence, risk tier, publication state, validation results, and review status.</w:t>
      </w:r>
    </w:p>
    <w:p>
      <w:pPr>
        <w:pStyle w:val="ListBullet"/>
        <w:spacing w:after="60"/>
        <w:ind w:left="0"/>
      </w:pPr>
      <w:r>
        <w:rPr>
          <w:rFonts w:ascii="Arial" w:hAnsi="Arial"/>
          <w:color w:val="24313A"/>
        </w:rPr>
        <w:t>Display official CBO/JCT outputs where available and reconcile coverage.</w:t>
      </w:r>
    </w:p>
    <w:p>
      <w:pPr>
        <w:pStyle w:val="ListBullet"/>
        <w:spacing w:after="60"/>
        <w:ind w:left="0"/>
      </w:pPr>
      <w:r>
        <w:t>Provide source trace, methodology, baseline_id, model_scenario_id, confidence, AI Decision Ledger trace, perspective comparison, corrections, and downloadable JSON/CSV.</w:t>
      </w:r>
    </w:p>
    <w:p>
      <w:pPr>
        <w:pStyle w:val="ListBullet"/>
        <w:spacing w:after="60"/>
        <w:ind w:left="0"/>
      </w:pPr>
      <w:r>
        <w:rPr>
          <w:rFonts w:ascii="Arial" w:hAnsi="Arial"/>
          <w:color w:val="24313A"/>
        </w:rPr>
        <w:t>Support watchlists and material-change notifications for pilot users.</w:t>
      </w:r>
    </w:p>
    <w:p>
      <w:pPr>
        <w:pStyle w:val="ListBullet"/>
      </w:pPr>
      <w:r>
        <w:t>Publish factual, provisional analytical, and verified impact lanes with claim-level maturity.</w:t>
      </w:r>
    </w:p>
    <w:p>
      <w:pPr>
        <w:pStyle w:val="ListBullet"/>
      </w:pPr>
      <w:r>
        <w:t>Log 100% of material AI decisions with field-level retention/disclosure controls and automatically evaluate schema, citations, deterministic transformations and calculations, disagreement, risk, privacy egress, and perspective invariance.</w:t>
      </w:r>
    </w:p>
    <w:p>
      <w:pPr>
        <w:pStyle w:val="ListBullet"/>
      </w:pPr>
      <w:r>
        <w:t>Support at least three principle-based perspective profiles shown side by side above common evidence and separately governed model scenarios.</w:t>
      </w:r>
    </w:p>
    <w:p>
      <w:pPr>
        <w:pStyle w:val="ListBullet"/>
      </w:pPr>
      <w:r>
        <w:t>Measure human-touch rate, correction rate, false-negative rate from random sampling, and review queue latency.</w:t>
      </w:r>
    </w:p>
    <w:p>
      <w:pPr>
        <w:pStyle w:val="Heading2"/>
      </w:pPr>
      <w:r>
        <w:t>MVP exclusions</w:t>
      </w:r>
    </w:p>
    <w:p>
      <w:pPr>
        <w:pStyle w:val="ListBullet"/>
        <w:spacing w:after="60"/>
        <w:ind w:left="0"/>
      </w:pPr>
      <w:r>
        <w:rPr>
          <w:rFonts w:ascii="Arial" w:hAnsi="Arial"/>
          <w:color w:val="24313A"/>
        </w:rPr>
        <w:t>No universal score or partisan rating.</w:t>
      </w:r>
    </w:p>
    <w:p>
      <w:pPr>
        <w:pStyle w:val="ListBullet"/>
        <w:spacing w:after="60"/>
        <w:ind w:left="0"/>
      </w:pPr>
      <w:r>
        <w:rPr>
          <w:rFonts w:ascii="Arial" w:hAnsi="Arial"/>
          <w:color w:val="24313A"/>
        </w:rPr>
        <w:t>No claim of complete lobbying causation or hidden beneficiary identification.</w:t>
      </w:r>
    </w:p>
    <w:p>
      <w:pPr>
        <w:pStyle w:val="ListBullet"/>
        <w:spacing w:after="60"/>
        <w:ind w:left="0"/>
      </w:pPr>
      <w:r>
        <w:rPr>
          <w:rFonts w:ascii="Arial" w:hAnsi="Arial"/>
          <w:color w:val="24313A"/>
        </w:rPr>
        <w:t>No full macroeconomic model.</w:t>
      </w:r>
    </w:p>
    <w:p>
      <w:pPr>
        <w:pStyle w:val="ListBullet"/>
        <w:spacing w:after="60"/>
        <w:ind w:left="0"/>
      </w:pPr>
      <w:r>
        <w:rPr>
          <w:rFonts w:ascii="Arial" w:hAnsi="Arial"/>
          <w:color w:val="24313A"/>
        </w:rPr>
        <w:t>No personalized tax filing, benefits eligibility determination, or legal advice.</w:t>
      </w:r>
    </w:p>
    <w:p>
      <w:pPr>
        <w:pStyle w:val="ListBullet"/>
      </w:pPr>
      <w:r>
        <w:t>No server-side storage or processing of user-entered custom household financial inputs in the POC.</w:t>
      </w:r>
    </w:p>
    <w:p>
      <w:pPr>
        <w:pStyle w:val="ListBullet"/>
        <w:spacing w:after="60"/>
        <w:ind w:left="0"/>
      </w:pPr>
      <w:r>
        <w:rPr>
          <w:rFonts w:ascii="Arial" w:hAnsi="Arial"/>
          <w:color w:val="24313A"/>
        </w:rPr>
        <w:t>No promise to analyze every introduced bill immediately or to provide state-specific household results in the POC.</w:t>
      </w:r>
    </w:p>
    <w:p>
      <w:pPr>
        <w:pStyle w:val="Heading2"/>
      </w:pPr>
      <w:r>
        <w:t>16.2 Phases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3293"/>
        <w:gridCol w:w="3293"/>
        <w:gridCol w:w="3293"/>
      </w:tblGrid>
      <w:tr>
        <w:trPr>
          <w:tblHeader w:val="true"/>
          <w:cantSplit/>
        </w:trPr>
        <w:tc>
          <w:tcPr>
            <w:tcW w:type="dxa" w:w="1800"/>
            <w:shd w:fill="17324D"/>
            <w:tcMar>
              <w:top w:w="90" w:type="dxa"/>
              <w:start w:w="90" w:type="dxa"/>
              <w:bottom w:w="90" w:type="dxa"/>
              <w:end w:w="90" w:type="dxa"/>
            </w:tcMar>
            <w:vAlign w:val="center"/>
          </w:tcPr>
          <w:p>
            <w:pPr>
              <w:jc w:val="left"/>
            </w:pPr>
            <w:r>
              <w:rPr>
                <w:rFonts w:ascii="Arial" w:hAnsi="Arial"/>
                <w:b/>
                <w:color w:val="FFFFFF"/>
                <w:sz w:val="16"/>
              </w:rPr>
              <w:t>Phase</w:t>
            </w:r>
          </w:p>
        </w:tc>
        <w:tc>
          <w:tcPr>
            <w:tcW w:type="dxa" w:w="1800"/>
            <w:shd w:fill="17324D"/>
            <w:tcMar>
              <w:top w:w="90" w:type="dxa"/>
              <w:start w:w="90" w:type="dxa"/>
              <w:bottom w:w="90" w:type="dxa"/>
              <w:end w:w="90" w:type="dxa"/>
            </w:tcMar>
            <w:vAlign w:val="center"/>
          </w:tcPr>
          <w:p>
            <w:pPr>
              <w:jc w:val="left"/>
            </w:pPr>
            <w:r>
              <w:rPr>
                <w:rFonts w:ascii="Arial" w:hAnsi="Arial"/>
                <w:b/>
                <w:color w:val="FFFFFF"/>
                <w:sz w:val="16"/>
              </w:rPr>
              <w:t>Indicative timing</w:t>
            </w:r>
          </w:p>
        </w:tc>
        <w:tc>
          <w:tcPr>
            <w:tcW w:type="dxa" w:w="5904"/>
            <w:shd w:fill="17324D"/>
            <w:tcMar>
              <w:top w:w="90" w:type="dxa"/>
              <w:start w:w="90" w:type="dxa"/>
              <w:bottom w:w="90" w:type="dxa"/>
              <w:end w:w="90" w:type="dxa"/>
            </w:tcMar>
            <w:vAlign w:val="center"/>
          </w:tcPr>
          <w:p>
            <w:pPr>
              <w:jc w:val="left"/>
            </w:pPr>
            <w:r>
              <w:rPr>
                <w:rFonts w:ascii="Arial" w:hAnsi="Arial"/>
                <w:b/>
                <w:color w:val="FFFFFF"/>
                <w:sz w:val="16"/>
              </w:rPr>
              <w:t>Outcome</w:t>
            </w:r>
          </w:p>
        </w:tc>
      </w:tr>
      <w:tr>
        <w:trPr>
          <w:cantSplit/>
        </w:trPr>
        <w:tc>
          <w:tcPr>
            <w:tcW w:type="dxa" w:w="1800"/>
            <w:tcMar>
              <w:top w:w="75" w:type="dxa"/>
              <w:start w:w="85" w:type="dxa"/>
              <w:bottom w:w="75" w:type="dxa"/>
              <w:end w:w="85" w:type="dxa"/>
            </w:tcMar>
            <w:vAlign w:val="top"/>
          </w:tcPr>
          <w:p>
            <w:pPr>
              <w:spacing w:after="0"/>
            </w:pPr>
            <w:r>
              <w:rPr>
                <w:rFonts w:ascii="Arial" w:hAnsi="Arial"/>
                <w:color w:val="24313A"/>
                <w:sz w:val="15"/>
              </w:rPr>
              <w:t>0 — Foundation / manual exemplar</w:t>
            </w:r>
          </w:p>
        </w:tc>
        <w:tc>
          <w:tcPr>
            <w:tcW w:type="dxa" w:w="1800"/>
            <w:tcMar>
              <w:top w:w="75" w:type="dxa"/>
              <w:start w:w="85" w:type="dxa"/>
              <w:bottom w:w="75" w:type="dxa"/>
              <w:end w:w="85" w:type="dxa"/>
            </w:tcMar>
            <w:vAlign w:val="top"/>
          </w:tcPr>
          <w:p>
            <w:pPr>
              <w:spacing w:after="0"/>
            </w:pPr>
            <w:r>
              <w:rPr>
                <w:rFonts w:ascii="Arial" w:hAnsi="Arial"/>
                <w:color w:val="24313A"/>
                <w:sz w:val="15"/>
              </w:rPr>
              <w:t>0–3 months</w:t>
            </w:r>
          </w:p>
        </w:tc>
        <w:tc>
          <w:tcPr>
            <w:tcW w:type="dxa" w:w="5904"/>
            <w:tcMar>
              <w:top w:w="75" w:type="dxa"/>
              <w:start w:w="85" w:type="dxa"/>
              <w:bottom w:w="75" w:type="dxa"/>
              <w:end w:w="85" w:type="dxa"/>
            </w:tcMar>
            <w:vAlign w:val="top"/>
          </w:tcPr>
          <w:p>
            <w:r>
              <w:t>Confirm identity; adopt contract and schemas; define risk policy, decision ledger, model-scenario governance, perspective profiles, local-data privacy contract, pilot rubric, and one manually produced exemplar report.</w:t>
            </w:r>
          </w:p>
        </w:tc>
      </w:tr>
      <w:tr>
        <w:trPr>
          <w:cantSplit/>
        </w:trPr>
        <w:tc>
          <w:tcPr>
            <w:tcW w:type="dxa" w:w="1800"/>
            <w:shd w:fill="F7F9FA"/>
            <w:tcMar>
              <w:top w:w="75" w:type="dxa"/>
              <w:start w:w="85" w:type="dxa"/>
              <w:bottom w:w="75" w:type="dxa"/>
              <w:end w:w="85" w:type="dxa"/>
            </w:tcMar>
            <w:vAlign w:val="top"/>
          </w:tcPr>
          <w:p>
            <w:pPr>
              <w:spacing w:after="0"/>
            </w:pPr>
            <w:r>
              <w:rPr>
                <w:rFonts w:ascii="Arial" w:hAnsi="Arial"/>
                <w:color w:val="24313A"/>
                <w:sz w:val="15"/>
              </w:rPr>
              <w:t>1 — Evidence MVP</w:t>
            </w:r>
          </w:p>
        </w:tc>
        <w:tc>
          <w:tcPr>
            <w:tcW w:type="dxa" w:w="1800"/>
            <w:shd w:fill="F7F9FA"/>
            <w:tcMar>
              <w:top w:w="75" w:type="dxa"/>
              <w:start w:w="85" w:type="dxa"/>
              <w:bottom w:w="75" w:type="dxa"/>
              <w:end w:w="85" w:type="dxa"/>
            </w:tcMar>
            <w:vAlign w:val="top"/>
          </w:tcPr>
          <w:p>
            <w:pPr>
              <w:spacing w:after="0"/>
            </w:pPr>
            <w:r>
              <w:rPr>
                <w:rFonts w:ascii="Arial" w:hAnsi="Arial"/>
                <w:color w:val="24313A"/>
                <w:sz w:val="15"/>
              </w:rPr>
              <w:t>3–8 months</w:t>
            </w:r>
          </w:p>
        </w:tc>
        <w:tc>
          <w:tcPr>
            <w:tcW w:type="dxa" w:w="5904"/>
            <w:shd w:fill="F7F9FA"/>
            <w:tcMar>
              <w:top w:w="75" w:type="dxa"/>
              <w:start w:w="85" w:type="dxa"/>
              <w:bottom w:w="75" w:type="dxa"/>
              <w:end w:w="85" w:type="dxa"/>
            </w:tcMar>
            <w:vAlign w:val="top"/>
          </w:tcPr>
          <w:p>
            <w:r>
              <w:t>Automated ingestion/versioning; USLM-aware normalization; deterministic amendment operations; structured extraction; round-trip validation; decision ledger; browser-local impact calculator; risk routing; provisional publication.</w:t>
            </w:r>
          </w:p>
        </w:tc>
      </w:tr>
      <w:tr>
        <w:trPr>
          <w:cantSplit/>
        </w:trPr>
        <w:tc>
          <w:tcPr>
            <w:tcW w:type="dxa" w:w="1800"/>
            <w:tcMar>
              <w:top w:w="75" w:type="dxa"/>
              <w:start w:w="85" w:type="dxa"/>
              <w:bottom w:w="75" w:type="dxa"/>
              <w:end w:w="85" w:type="dxa"/>
            </w:tcMar>
            <w:vAlign w:val="top"/>
          </w:tcPr>
          <w:p>
            <w:pPr>
              <w:spacing w:after="0"/>
            </w:pPr>
            <w:r>
              <w:rPr>
                <w:rFonts w:ascii="Arial" w:hAnsi="Arial"/>
                <w:color w:val="24313A"/>
                <w:sz w:val="15"/>
              </w:rPr>
              <w:t>2 — Distribution</w:t>
            </w:r>
          </w:p>
        </w:tc>
        <w:tc>
          <w:tcPr>
            <w:tcW w:type="dxa" w:w="1800"/>
            <w:tcMar>
              <w:top w:w="75" w:type="dxa"/>
              <w:start w:w="85" w:type="dxa"/>
              <w:bottom w:w="75" w:type="dxa"/>
              <w:end w:w="85" w:type="dxa"/>
            </w:tcMar>
            <w:vAlign w:val="top"/>
          </w:tcPr>
          <w:p>
            <w:pPr>
              <w:spacing w:after="0"/>
            </w:pPr>
            <w:r>
              <w:rPr>
                <w:rFonts w:ascii="Arial" w:hAnsi="Arial"/>
                <w:color w:val="24313A"/>
                <w:sz w:val="15"/>
              </w:rPr>
              <w:t>8–15 months</w:t>
            </w:r>
          </w:p>
        </w:tc>
        <w:tc>
          <w:tcPr>
            <w:tcW w:type="dxa" w:w="5904"/>
            <w:tcMar>
              <w:top w:w="75" w:type="dxa"/>
              <w:start w:w="85" w:type="dxa"/>
              <w:bottom w:w="75" w:type="dxa"/>
              <w:end w:w="85" w:type="dxa"/>
            </w:tcMar>
            <w:vAlign w:val="top"/>
          </w:tcPr>
          <w:p>
            <w:pPr>
              <w:spacing w:after="0"/>
            </w:pPr>
            <w:r>
              <w:rPr>
                <w:rFonts w:ascii="Arial" w:hAnsi="Arial"/>
                <w:color w:val="24313A"/>
                <w:sz w:val="15"/>
              </w:rPr>
              <w:t>Direct-federal representative cases; selected microsimulation; model comparison; interaction decomposition; uncertainty; correction workflow; external replication.</w:t>
            </w:r>
          </w:p>
        </w:tc>
      </w:tr>
      <w:tr>
        <w:trPr>
          <w:cantSplit/>
        </w:trPr>
        <w:tc>
          <w:tcPr>
            <w:tcW w:type="dxa" w:w="1800"/>
            <w:shd w:fill="F7F9FA"/>
            <w:tcMar>
              <w:top w:w="75" w:type="dxa"/>
              <w:start w:w="85" w:type="dxa"/>
              <w:bottom w:w="75" w:type="dxa"/>
              <w:end w:w="85" w:type="dxa"/>
            </w:tcMar>
            <w:vAlign w:val="top"/>
          </w:tcPr>
          <w:p>
            <w:pPr>
              <w:spacing w:after="0"/>
            </w:pPr>
            <w:r>
              <w:rPr>
                <w:rFonts w:ascii="Arial" w:hAnsi="Arial"/>
                <w:color w:val="24313A"/>
                <w:sz w:val="15"/>
              </w:rPr>
              <w:t>3 — Advantage context</w:t>
            </w:r>
          </w:p>
        </w:tc>
        <w:tc>
          <w:tcPr>
            <w:tcW w:type="dxa" w:w="1800"/>
            <w:shd w:fill="F7F9FA"/>
            <w:tcMar>
              <w:top w:w="75" w:type="dxa"/>
              <w:start w:w="85" w:type="dxa"/>
              <w:bottom w:w="75" w:type="dxa"/>
              <w:end w:w="85" w:type="dxa"/>
            </w:tcMar>
            <w:vAlign w:val="top"/>
          </w:tcPr>
          <w:p>
            <w:pPr>
              <w:spacing w:after="0"/>
            </w:pPr>
            <w:r>
              <w:rPr>
                <w:rFonts w:ascii="Arial" w:hAnsi="Arial"/>
                <w:color w:val="24313A"/>
                <w:sz w:val="15"/>
              </w:rPr>
              <w:t>12–20 months</w:t>
            </w:r>
          </w:p>
        </w:tc>
        <w:tc>
          <w:tcPr>
            <w:tcW w:type="dxa" w:w="5904"/>
            <w:shd w:fill="F7F9FA"/>
            <w:tcMar>
              <w:top w:w="75" w:type="dxa"/>
              <w:start w:w="85" w:type="dxa"/>
              <w:bottom w:w="75" w:type="dxa"/>
              <w:end w:w="85" w:type="dxa"/>
            </w:tcMar>
            <w:vAlign w:val="top"/>
          </w:tcPr>
          <w:p>
            <w:pPr>
              <w:spacing w:after="0"/>
            </w:pPr>
            <w:r>
              <w:rPr>
                <w:rFonts w:ascii="Arial" w:hAnsi="Arial"/>
                <w:color w:val="24313A"/>
                <w:sz w:val="15"/>
              </w:rPr>
              <w:t>Flag engine; entity resolution; LDA/FEC/USAspending/SEC context; journalist/reviewer workflows.</w:t>
            </w:r>
          </w:p>
        </w:tc>
      </w:tr>
      <w:tr>
        <w:trPr>
          <w:cantSplit/>
        </w:trPr>
        <w:tc>
          <w:tcPr>
            <w:tcW w:type="dxa" w:w="1800"/>
            <w:tcMar>
              <w:top w:w="75" w:type="dxa"/>
              <w:start w:w="85" w:type="dxa"/>
              <w:bottom w:w="75" w:type="dxa"/>
              <w:end w:w="85" w:type="dxa"/>
            </w:tcMar>
            <w:vAlign w:val="top"/>
          </w:tcPr>
          <w:p>
            <w:pPr>
              <w:spacing w:after="0"/>
            </w:pPr>
            <w:r>
              <w:rPr>
                <w:rFonts w:ascii="Arial" w:hAnsi="Arial"/>
                <w:color w:val="24313A"/>
                <w:sz w:val="15"/>
              </w:rPr>
              <w:t>4 — Implementation tracking</w:t>
            </w:r>
          </w:p>
        </w:tc>
        <w:tc>
          <w:tcPr>
            <w:tcW w:type="dxa" w:w="1800"/>
            <w:tcMar>
              <w:top w:w="75" w:type="dxa"/>
              <w:start w:w="85" w:type="dxa"/>
              <w:bottom w:w="75" w:type="dxa"/>
              <w:end w:w="85" w:type="dxa"/>
            </w:tcMar>
            <w:vAlign w:val="top"/>
          </w:tcPr>
          <w:p>
            <w:pPr>
              <w:spacing w:after="0"/>
            </w:pPr>
            <w:r>
              <w:rPr>
                <w:rFonts w:ascii="Arial" w:hAnsi="Arial"/>
                <w:color w:val="24313A"/>
                <w:sz w:val="15"/>
              </w:rPr>
              <w:t>18–30 months</w:t>
            </w:r>
          </w:p>
        </w:tc>
        <w:tc>
          <w:tcPr>
            <w:tcW w:type="dxa" w:w="5904"/>
            <w:tcMar>
              <w:top w:w="75" w:type="dxa"/>
              <w:start w:w="85" w:type="dxa"/>
              <w:bottom w:w="75" w:type="dxa"/>
              <w:end w:w="85" w:type="dxa"/>
            </w:tcMar>
            <w:vAlign w:val="top"/>
          </w:tcPr>
          <w:p>
            <w:pPr>
              <w:spacing w:after="0"/>
            </w:pPr>
            <w:r>
              <w:rPr>
                <w:rFonts w:ascii="Arial" w:hAnsi="Arial"/>
                <w:color w:val="24313A"/>
                <w:sz w:val="15"/>
              </w:rPr>
              <w:t>Regulations, appropriations, awards, recipient realization, and forecast-versus-outcome analysis.</w:t>
            </w:r>
          </w:p>
        </w:tc>
      </w:tr>
      <w:tr>
        <w:trPr>
          <w:cantSplit/>
        </w:trPr>
        <w:tc>
          <w:tcPr>
            <w:tcW w:type="dxa" w:w="1800"/>
            <w:shd w:fill="F7F9FA"/>
            <w:tcMar>
              <w:top w:w="75" w:type="dxa"/>
              <w:start w:w="85" w:type="dxa"/>
              <w:bottom w:w="75" w:type="dxa"/>
              <w:end w:w="85" w:type="dxa"/>
            </w:tcMar>
            <w:vAlign w:val="top"/>
          </w:tcPr>
          <w:p>
            <w:pPr>
              <w:spacing w:after="0"/>
            </w:pPr>
            <w:r>
              <w:rPr>
                <w:rFonts w:ascii="Arial" w:hAnsi="Arial"/>
                <w:color w:val="24313A"/>
                <w:sz w:val="15"/>
              </w:rPr>
              <w:t>5 — Broader civic infrastructure</w:t>
            </w:r>
          </w:p>
        </w:tc>
        <w:tc>
          <w:tcPr>
            <w:tcW w:type="dxa" w:w="1800"/>
            <w:shd w:fill="F7F9FA"/>
            <w:tcMar>
              <w:top w:w="75" w:type="dxa"/>
              <w:start w:w="85" w:type="dxa"/>
              <w:bottom w:w="75" w:type="dxa"/>
              <w:end w:w="85" w:type="dxa"/>
            </w:tcMar>
            <w:vAlign w:val="top"/>
          </w:tcPr>
          <w:p>
            <w:pPr>
              <w:spacing w:after="0"/>
            </w:pPr>
            <w:r>
              <w:rPr>
                <w:rFonts w:ascii="Arial" w:hAnsi="Arial"/>
                <w:color w:val="24313A"/>
                <w:sz w:val="15"/>
              </w:rPr>
              <w:t>Later</w:t>
            </w:r>
          </w:p>
        </w:tc>
        <w:tc>
          <w:tcPr>
            <w:tcW w:type="dxa" w:w="5904"/>
            <w:shd w:fill="F7F9FA"/>
            <w:tcMar>
              <w:top w:w="75" w:type="dxa"/>
              <w:start w:w="85" w:type="dxa"/>
              <w:bottom w:w="75" w:type="dxa"/>
              <w:end w:w="85" w:type="dxa"/>
            </w:tcMar>
            <w:vAlign w:val="top"/>
          </w:tcPr>
          <w:p>
            <w:pPr>
              <w:spacing w:after="0"/>
            </w:pPr>
            <w:r>
              <w:rPr>
                <w:rFonts w:ascii="Arial" w:hAnsi="Arial"/>
                <w:color w:val="24313A"/>
                <w:sz w:val="15"/>
              </w:rPr>
              <w:t>Additional policy domains, state editions, partner APIs, education tools, and independent model ecosystem.</w:t>
            </w:r>
          </w:p>
        </w:tc>
      </w:tr>
    </w:tbl>
    <w:p>
      <w:pPr>
        <w:pStyle w:val="Heading2"/>
      </w:pPr>
      <w:r>
        <w:t>16.3 Pilot selection criteria</w:t>
      </w:r>
    </w:p>
    <w:p>
      <w:pPr>
        <w:pStyle w:val="ListBullet"/>
        <w:spacing w:after="60"/>
        <w:ind w:left="0"/>
      </w:pPr>
      <w:r>
        <w:rPr>
          <w:rFonts w:ascii="Arial" w:hAnsi="Arial"/>
          <w:color w:val="24313A"/>
        </w:rPr>
        <w:t>Multiple official text versions with meaningful changes.</w:t>
      </w:r>
    </w:p>
    <w:p>
      <w:pPr>
        <w:pStyle w:val="ListBullet"/>
        <w:spacing w:after="60"/>
        <w:ind w:left="0"/>
      </w:pPr>
      <w:r>
        <w:rPr>
          <w:rFonts w:ascii="Arial" w:hAnsi="Arial"/>
          <w:color w:val="24313A"/>
        </w:rPr>
        <w:t>Quantifiable federal tax or benefit provisions.</w:t>
      </w:r>
    </w:p>
    <w:p>
      <w:pPr>
        <w:pStyle w:val="ListBullet"/>
        <w:spacing w:after="60"/>
        <w:ind w:left="0"/>
      </w:pPr>
      <w:r>
        <w:rPr>
          <w:rFonts w:ascii="Arial" w:hAnsi="Arial"/>
          <w:color w:val="24313A"/>
        </w:rPr>
        <w:t>Official CBO/JCT or agency estimates available for comparison.</w:t>
      </w:r>
    </w:p>
    <w:p>
      <w:pPr>
        <w:pStyle w:val="ListBullet"/>
        <w:spacing w:after="60"/>
        <w:ind w:left="0"/>
      </w:pPr>
      <w:r>
        <w:rPr>
          <w:rFonts w:ascii="Arial" w:hAnsi="Arial"/>
          <w:color w:val="24313A"/>
        </w:rPr>
        <w:t>Public interest across different ideological perspectives.</w:t>
      </w:r>
    </w:p>
    <w:p>
      <w:pPr>
        <w:pStyle w:val="ListBullet"/>
        <w:spacing w:after="60"/>
        <w:ind w:left="0"/>
      </w:pPr>
      <w:r>
        <w:rPr>
          <w:rFonts w:ascii="Arial" w:hAnsi="Arial"/>
          <w:color w:val="24313A"/>
        </w:rPr>
        <w:t>Manageable provision count and data availability.</w:t>
      </w:r>
    </w:p>
    <w:p>
      <w:pPr>
        <w:pStyle w:val="ListBullet"/>
        <w:spacing w:after="60"/>
        <w:ind w:left="0"/>
      </w:pPr>
      <w:r>
        <w:t>At least one plausible narrow-benefit, targeted-eligibility, or timing issue to test the indicator framework without predetermining the result.</w:t>
      </w:r>
    </w:p>
    <w:p>
      <w:bookmarkStart w:id="170" w:name="operations"/>
      <w:pPr>
        <w:pStyle w:val="Heading1"/>
      </w:pPr>
      <w:r>
        <w:t>17. Operating model, metrics, and risks</w:t>
      </w:r>
      <w:bookmarkEnd w:id="170"/>
    </w:p>
    <w:p>
      <w:pPr>
        <w:pStyle w:val="Heading2"/>
      </w:pPr>
      <w:r>
        <w:t>17.1 Initial team capabilities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448"/>
            <w:shd w:fill="17324D"/>
            <w:tcMar>
              <w:top w:w="90" w:type="dxa"/>
              <w:start w:w="90" w:type="dxa"/>
              <w:bottom w:w="90" w:type="dxa"/>
              <w:end w:w="90" w:type="dxa"/>
            </w:tcMar>
            <w:vAlign w:val="center"/>
          </w:tcPr>
          <w:p>
            <w:pPr>
              <w:jc w:val="left"/>
            </w:pPr>
            <w:r>
              <w:rPr>
                <w:rFonts w:ascii="Arial" w:hAnsi="Arial"/>
                <w:b/>
                <w:color w:val="FFFFFF"/>
                <w:sz w:val="16"/>
              </w:rPr>
              <w:t>Capability</w:t>
            </w:r>
          </w:p>
        </w:tc>
        <w:tc>
          <w:tcPr>
            <w:tcW w:type="dxa" w:w="7056"/>
            <w:shd w:fill="17324D"/>
            <w:tcMar>
              <w:top w:w="90" w:type="dxa"/>
              <w:start w:w="90" w:type="dxa"/>
              <w:bottom w:w="90" w:type="dxa"/>
              <w:end w:w="90" w:type="dxa"/>
            </w:tcMar>
            <w:vAlign w:val="center"/>
          </w:tcPr>
          <w:p>
            <w:pPr>
              <w:jc w:val="left"/>
            </w:pPr>
            <w:r>
              <w:rPr>
                <w:rFonts w:ascii="Arial" w:hAnsi="Arial"/>
                <w:b/>
                <w:color w:val="FFFFFF"/>
                <w:sz w:val="16"/>
              </w:rPr>
              <w:t>Early responsibility</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Product / civic design</w:t>
            </w:r>
          </w:p>
        </w:tc>
        <w:tc>
          <w:tcPr>
            <w:tcW w:type="dxa" w:w="7056"/>
            <w:tcMar>
              <w:top w:w="75" w:type="dxa"/>
              <w:start w:w="85" w:type="dxa"/>
              <w:bottom w:w="75" w:type="dxa"/>
              <w:end w:w="85" w:type="dxa"/>
            </w:tcMar>
            <w:vAlign w:val="top"/>
          </w:tcPr>
          <w:p>
            <w:pPr>
              <w:spacing w:after="0"/>
            </w:pPr>
            <w:r>
              <w:rPr>
                <w:rFonts w:ascii="Arial" w:hAnsi="Arial"/>
                <w:color w:val="24313A"/>
                <w:sz w:val="15"/>
              </w:rPr>
              <w:t>User research, prioritization, evidence UX, accessibility, and partner feedback.</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Legislative analysis</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Statutory interpretation, version comparison, provision design, and review.</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Tax / public finance</w:t>
            </w:r>
          </w:p>
        </w:tc>
        <w:tc>
          <w:tcPr>
            <w:tcW w:type="dxa" w:w="7056"/>
            <w:tcMar>
              <w:top w:w="75" w:type="dxa"/>
              <w:start w:w="85" w:type="dxa"/>
              <w:bottom w:w="75" w:type="dxa"/>
              <w:end w:w="85" w:type="dxa"/>
            </w:tcMar>
            <w:vAlign w:val="top"/>
          </w:tcPr>
          <w:p>
            <w:pPr>
              <w:spacing w:after="0"/>
            </w:pPr>
            <w:r>
              <w:rPr>
                <w:rFonts w:ascii="Arial" w:hAnsi="Arial"/>
                <w:color w:val="24313A"/>
                <w:sz w:val="15"/>
              </w:rPr>
              <w:t>Microsimulation, incidence, budget concepts, uncertainty, and official-score reconciliation.</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Benefits / program policy</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Eligibility, administrative systems, take-up, in-kind valuation, and state interactions.</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Data engineering</w:t>
            </w:r>
          </w:p>
        </w:tc>
        <w:tc>
          <w:tcPr>
            <w:tcW w:type="dxa" w:w="7056"/>
            <w:tcMar>
              <w:top w:w="75" w:type="dxa"/>
              <w:start w:w="85" w:type="dxa"/>
              <w:bottom w:w="75" w:type="dxa"/>
              <w:end w:w="85" w:type="dxa"/>
            </w:tcMar>
            <w:vAlign w:val="top"/>
          </w:tcPr>
          <w:p>
            <w:pPr>
              <w:spacing w:after="0"/>
            </w:pPr>
            <w:r>
              <w:rPr>
                <w:rFonts w:ascii="Arial" w:hAnsi="Arial"/>
                <w:color w:val="24313A"/>
                <w:sz w:val="15"/>
              </w:rPr>
              <w:t>Connectors, canonical documents, lineage, entity resolution, and quality monitoring.</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Software engineering</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Application, APIs, workflow, security, observability, testing, and release automation.</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AI / information extraction</w:t>
            </w:r>
          </w:p>
        </w:tc>
        <w:tc>
          <w:tcPr>
            <w:tcW w:type="dxa" w:w="7056"/>
            <w:tcMar>
              <w:top w:w="75" w:type="dxa"/>
              <w:start w:w="85" w:type="dxa"/>
              <w:bottom w:w="75" w:type="dxa"/>
              <w:end w:w="85" w:type="dxa"/>
            </w:tcMar>
            <w:vAlign w:val="top"/>
          </w:tcPr>
          <w:p>
            <w:pPr>
              <w:spacing w:after="0"/>
            </w:pPr>
            <w:r>
              <w:rPr>
                <w:rFonts w:ascii="Arial" w:hAnsi="Arial"/>
                <w:color w:val="24313A"/>
                <w:sz w:val="15"/>
              </w:rPr>
              <w:t>Structured extraction, evaluation, retrieval, anomaly detection, and guardrails.</w:t>
            </w:r>
          </w:p>
        </w:tc>
      </w:tr>
      <w:tr>
        <w:trPr>
          <w:cantSplit/>
        </w:trPr>
        <w:tc>
          <w:tcPr>
            <w:tcW w:type="dxa" w:w="2448"/>
            <w:shd w:fill="F7F9FA"/>
            <w:tcMar>
              <w:top w:w="75" w:type="dxa"/>
              <w:start w:w="85" w:type="dxa"/>
              <w:bottom w:w="75" w:type="dxa"/>
              <w:end w:w="85" w:type="dxa"/>
            </w:tcMar>
            <w:vAlign w:val="top"/>
          </w:tcPr>
          <w:p>
            <w:pPr>
              <w:spacing w:after="0"/>
            </w:pPr>
            <w:r>
              <w:rPr>
                <w:rFonts w:ascii="Arial" w:hAnsi="Arial"/>
                <w:color w:val="24313A"/>
                <w:sz w:val="15"/>
              </w:rPr>
              <w:t>Editorial / communications</w:t>
            </w:r>
          </w:p>
        </w:tc>
        <w:tc>
          <w:tcPr>
            <w:tcW w:type="dxa" w:w="7056"/>
            <w:shd w:fill="F7F9FA"/>
            <w:tcMar>
              <w:top w:w="75" w:type="dxa"/>
              <w:start w:w="85" w:type="dxa"/>
              <w:bottom w:w="75" w:type="dxa"/>
              <w:end w:w="85" w:type="dxa"/>
            </w:tcMar>
            <w:vAlign w:val="top"/>
          </w:tcPr>
          <w:p>
            <w:pPr>
              <w:spacing w:after="0"/>
            </w:pPr>
            <w:r>
              <w:rPr>
                <w:rFonts w:ascii="Arial" w:hAnsi="Arial"/>
                <w:color w:val="24313A"/>
                <w:sz w:val="15"/>
              </w:rPr>
              <w:t>Plain language, headlines, methodology, corrections, and educational content.</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Legal / ethics / governance</w:t>
            </w:r>
          </w:p>
        </w:tc>
        <w:tc>
          <w:tcPr>
            <w:tcW w:type="dxa" w:w="7056"/>
            <w:tcMar>
              <w:top w:w="75" w:type="dxa"/>
              <w:start w:w="85" w:type="dxa"/>
              <w:bottom w:w="75" w:type="dxa"/>
              <w:end w:w="85" w:type="dxa"/>
            </w:tcMar>
            <w:vAlign w:val="top"/>
          </w:tcPr>
          <w:p>
            <w:pPr>
              <w:spacing w:after="0"/>
            </w:pPr>
            <w:r>
              <w:rPr>
                <w:rFonts w:ascii="Arial" w:hAnsi="Arial"/>
                <w:color w:val="24313A"/>
                <w:sz w:val="15"/>
              </w:rPr>
              <w:t>Defamation risk, affiliation, terms, data use, conflicts, independence, and correction process.</w:t>
            </w:r>
          </w:p>
        </w:tc>
      </w:tr>
      <w:tr>
        <w:trPr>
          <w:cantSplit/>
        </w:trPr>
        <w:tc>
          <w:tcPr>
            <w:tcW w:type="dxa" w:w="2448"/>
            <w:tcMar>
              <w:top w:w="75" w:type="dxa"/>
              <w:start w:w="85" w:type="dxa"/>
              <w:bottom w:w="75" w:type="dxa"/>
              <w:end w:w="85" w:type="dxa"/>
            </w:tcMar>
            <w:vAlign w:val="top"/>
          </w:tcPr>
          <w:p>
            <w:pPr>
              <w:spacing w:after="0"/>
            </w:pPr>
            <w:r>
              <w:rPr>
                <w:rFonts w:ascii="Arial" w:hAnsi="Arial"/>
                <w:color w:val="24313A"/>
                <w:sz w:val="15"/>
              </w:rPr>
              <w:t>Trust / review operations</w:t>
            </w:r>
          </w:p>
        </w:tc>
        <w:tc>
          <w:tcPr>
            <w:tcW w:type="dxa" w:w="7056"/>
            <w:tcMar>
              <w:top w:w="75" w:type="dxa"/>
              <w:start w:w="85" w:type="dxa"/>
              <w:bottom w:w="75" w:type="dxa"/>
              <w:end w:w="85" w:type="dxa"/>
            </w:tcMar>
            <w:vAlign w:val="top"/>
          </w:tcPr>
          <w:p>
            <w:pPr>
              <w:spacing w:after="0"/>
            </w:pPr>
            <w:r>
              <w:rPr>
                <w:rFonts w:ascii="Arial" w:hAnsi="Arial"/>
                <w:color w:val="24313A"/>
                <w:sz w:val="15"/>
              </w:rPr>
              <w:t>Risk policy, review sampling, queue triage, quality measurement, correction root-cause analysis, and escalation tuning.</w:t>
            </w:r>
          </w:p>
        </w:tc>
      </w:tr>
    </w:tbl>
    <w:p>
      <w:pPr>
        <w:pStyle w:val="Heading2"/>
      </w:pPr>
      <w:r>
        <w:t>17.2 Success metrics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232"/>
            <w:shd w:fill="17324D"/>
            <w:tcMar>
              <w:top w:w="90" w:type="dxa"/>
              <w:start w:w="90" w:type="dxa"/>
              <w:bottom w:w="90" w:type="dxa"/>
              <w:end w:w="90" w:type="dxa"/>
            </w:tcMar>
            <w:vAlign w:val="center"/>
          </w:tcPr>
          <w:p>
            <w:pPr>
              <w:jc w:val="left"/>
            </w:pPr>
            <w:r>
              <w:rPr>
                <w:rFonts w:ascii="Arial" w:hAnsi="Arial"/>
                <w:b/>
                <w:color w:val="FFFFFF"/>
                <w:sz w:val="16"/>
              </w:rPr>
              <w:t>Metric family</w:t>
            </w:r>
          </w:p>
        </w:tc>
        <w:tc>
          <w:tcPr>
            <w:tcW w:type="dxa" w:w="7272"/>
            <w:shd w:fill="17324D"/>
            <w:tcMar>
              <w:top w:w="90" w:type="dxa"/>
              <w:start w:w="90" w:type="dxa"/>
              <w:bottom w:w="90" w:type="dxa"/>
              <w:end w:w="90" w:type="dxa"/>
            </w:tcMar>
            <w:vAlign w:val="center"/>
          </w:tcPr>
          <w:p>
            <w:pPr>
              <w:jc w:val="left"/>
            </w:pPr>
            <w:r>
              <w:rPr>
                <w:rFonts w:ascii="Arial" w:hAnsi="Arial"/>
                <w:b/>
                <w:color w:val="FFFFFF"/>
                <w:sz w:val="16"/>
              </w:rPr>
              <w:t>Examples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Accuracy</w:t>
            </w:r>
          </w:p>
        </w:tc>
        <w:tc>
          <w:tcPr>
            <w:tcW w:type="dxa" w:w="7272"/>
            <w:tcMar>
              <w:top w:w="75" w:type="dxa"/>
              <w:start w:w="85" w:type="dxa"/>
              <w:bottom w:w="75" w:type="dxa"/>
              <w:end w:w="85" w:type="dxa"/>
            </w:tcMar>
            <w:vAlign w:val="top"/>
          </w:tcPr>
          <w:p>
            <w:pPr>
              <w:spacing w:after="0"/>
            </w:pPr>
            <w:r>
              <w:rPr>
                <w:rFonts w:ascii="Arial" w:hAnsi="Arial"/>
                <w:color w:val="24313A"/>
                <w:sz w:val="15"/>
              </w:rPr>
              <w:t>Source identity accuracy; provision extraction precision/recall; calculation reconciliation; correction rate and severity.</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Traceability</w:t>
            </w:r>
          </w:p>
        </w:tc>
        <w:tc>
          <w:tcPr>
            <w:tcW w:type="dxa" w:w="7272"/>
            <w:shd w:fill="F7F9FA"/>
            <w:tcMar>
              <w:top w:w="75" w:type="dxa"/>
              <w:start w:w="85" w:type="dxa"/>
              <w:bottom w:w="75" w:type="dxa"/>
              <w:end w:w="85" w:type="dxa"/>
            </w:tcMar>
            <w:vAlign w:val="top"/>
          </w:tcPr>
          <w:p>
            <w:pPr>
              <w:spacing w:after="0"/>
            </w:pPr>
            <w:r>
              <w:rPr>
                <w:rFonts w:ascii="Arial" w:hAnsi="Arial"/>
                <w:color w:val="24313A"/>
                <w:sz w:val="15"/>
              </w:rPr>
              <w:t>Percentage of findings with complete evidence and reproducibility packages.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Timeliness</w:t>
            </w:r>
          </w:p>
        </w:tc>
        <w:tc>
          <w:tcPr>
            <w:tcW w:type="dxa" w:w="7272"/>
            <w:tcMar>
              <w:top w:w="75" w:type="dxa"/>
              <w:start w:w="85" w:type="dxa"/>
              <w:bottom w:w="75" w:type="dxa"/>
              <w:end w:w="85" w:type="dxa"/>
            </w:tcMar>
            <w:vAlign w:val="top"/>
          </w:tcPr>
          <w:p>
            <w:pPr>
              <w:spacing w:after="0"/>
            </w:pPr>
            <w:r>
              <w:rPr>
                <w:rFonts w:ascii="Arial" w:hAnsi="Arial"/>
                <w:color w:val="24313A"/>
                <w:sz w:val="15"/>
              </w:rPr>
              <w:t>Time from official text publication to verified change report and, separately, to modeled impact.</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Coverage</w:t>
            </w:r>
          </w:p>
        </w:tc>
        <w:tc>
          <w:tcPr>
            <w:tcW w:type="dxa" w:w="7272"/>
            <w:shd w:fill="F7F9FA"/>
            <w:tcMar>
              <w:top w:w="75" w:type="dxa"/>
              <w:start w:w="85" w:type="dxa"/>
              <w:bottom w:w="75" w:type="dxa"/>
              <w:end w:w="85" w:type="dxa"/>
            </w:tcMar>
            <w:vAlign w:val="top"/>
          </w:tcPr>
          <w:p>
            <w:pPr>
              <w:spacing w:after="0"/>
            </w:pPr>
            <w:r>
              <w:rPr>
                <w:rFonts w:ascii="Arial" w:hAnsi="Arial"/>
                <w:color w:val="24313A"/>
                <w:sz w:val="15"/>
              </w:rPr>
              <w:t>Share of material provisions analyzed within supported domains—not raw bill count.</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Comprehension</w:t>
            </w:r>
          </w:p>
        </w:tc>
        <w:tc>
          <w:tcPr>
            <w:tcW w:type="dxa" w:w="7272"/>
            <w:tcMar>
              <w:top w:w="75" w:type="dxa"/>
              <w:start w:w="85" w:type="dxa"/>
              <w:bottom w:w="75" w:type="dxa"/>
              <w:end w:w="85" w:type="dxa"/>
            </w:tcMar>
            <w:vAlign w:val="top"/>
          </w:tcPr>
          <w:p>
            <w:pPr>
              <w:spacing w:after="0"/>
            </w:pPr>
            <w:r>
              <w:rPr>
                <w:rFonts w:ascii="Arial" w:hAnsi="Arial"/>
                <w:color w:val="24313A"/>
                <w:sz w:val="15"/>
              </w:rPr>
              <w:t>Users can correctly explain what changed, affected groups, uncertainty, and how to verify it.</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Balance / framing</w:t>
            </w:r>
          </w:p>
        </w:tc>
        <w:tc>
          <w:tcPr>
            <w:tcW w:type="dxa" w:w="7272"/>
            <w:shd w:fill="F7F9FA"/>
            <w:tcMar>
              <w:top w:w="75" w:type="dxa"/>
              <w:start w:w="85" w:type="dxa"/>
              <w:bottom w:w="75" w:type="dxa"/>
              <w:end w:w="85" w:type="dxa"/>
            </w:tcMar>
            <w:vAlign w:val="top"/>
          </w:tcPr>
          <w:p>
            <w:pPr>
              <w:spacing w:after="0"/>
            </w:pPr>
            <w:r>
              <w:rPr>
                <w:rFonts w:ascii="Arial" w:hAnsi="Arial"/>
                <w:color w:val="24313A"/>
                <w:sz w:val="15"/>
              </w:rPr>
              <w:t>Independent audits find no systematic directional error or loaded language across political contexts.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Reuse</w:t>
            </w:r>
          </w:p>
        </w:tc>
        <w:tc>
          <w:tcPr>
            <w:tcW w:type="dxa" w:w="7272"/>
            <w:tcMar>
              <w:top w:w="75" w:type="dxa"/>
              <w:start w:w="85" w:type="dxa"/>
              <w:bottom w:w="75" w:type="dxa"/>
              <w:end w:w="85" w:type="dxa"/>
            </w:tcMar>
            <w:vAlign w:val="top"/>
          </w:tcPr>
          <w:p>
            <w:pPr>
              <w:spacing w:after="0"/>
            </w:pPr>
            <w:r>
              <w:rPr>
                <w:rFonts w:ascii="Arial" w:hAnsi="Arial"/>
                <w:color w:val="24313A"/>
                <w:sz w:val="15"/>
              </w:rPr>
              <w:t>API usage, downloads, citations, replications, classroom use, and partner integrations.</w:t>
            </w:r>
          </w:p>
        </w:tc>
      </w:tr>
      <w:tr>
        <w:trPr>
          <w:cantSplit/>
        </w:trPr>
        <w:tc>
          <w:tcPr>
            <w:tcW w:type="dxa" w:w="2232"/>
            <w:shd w:fill="F7F9FA"/>
            <w:tcMar>
              <w:top w:w="75" w:type="dxa"/>
              <w:start w:w="85" w:type="dxa"/>
              <w:bottom w:w="75" w:type="dxa"/>
              <w:end w:w="85" w:type="dxa"/>
            </w:tcMar>
            <w:vAlign w:val="top"/>
          </w:tcPr>
          <w:p>
            <w:pPr>
              <w:spacing w:after="0"/>
            </w:pPr>
            <w:r>
              <w:rPr>
                <w:rFonts w:ascii="Arial" w:hAnsi="Arial"/>
                <w:color w:val="24313A"/>
                <w:sz w:val="15"/>
              </w:rPr>
              <w:t>Trust</w:t>
            </w:r>
          </w:p>
        </w:tc>
        <w:tc>
          <w:tcPr>
            <w:tcW w:type="dxa" w:w="7272"/>
            <w:shd w:fill="F7F9FA"/>
            <w:tcMar>
              <w:top w:w="75" w:type="dxa"/>
              <w:start w:w="85" w:type="dxa"/>
              <w:bottom w:w="75" w:type="dxa"/>
              <w:end w:w="85" w:type="dxa"/>
            </w:tcMar>
            <w:vAlign w:val="top"/>
          </w:tcPr>
          <w:p>
            <w:pPr>
              <w:spacing w:after="0"/>
            </w:pPr>
            <w:r>
              <w:rPr>
                <w:rFonts w:ascii="Arial" w:hAnsi="Arial"/>
                <w:color w:val="24313A"/>
                <w:sz w:val="15"/>
              </w:rPr>
              <w:t>User confidence tied to evidence transparency, not agreement with conclusions.</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Operational quality</w:t>
            </w:r>
          </w:p>
        </w:tc>
        <w:tc>
          <w:tcPr>
            <w:tcW w:type="dxa" w:w="7272"/>
            <w:tcMar>
              <w:top w:w="75" w:type="dxa"/>
              <w:start w:w="85" w:type="dxa"/>
              <w:bottom w:w="75" w:type="dxa"/>
              <w:end w:w="85" w:type="dxa"/>
            </w:tcMar>
            <w:vAlign w:val="top"/>
          </w:tcPr>
          <w:p>
            <w:pPr>
              <w:spacing w:after="0"/>
            </w:pPr>
            <w:r>
              <w:rPr>
                <w:rFonts w:ascii="Arial" w:hAnsi="Arial"/>
                <w:color w:val="24313A"/>
                <w:sz w:val="15"/>
              </w:rPr>
              <w:t>Source freshness, pipeline success, uptime, review queue age, and rollback/correction speed.</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Automation quality</w:t>
            </w:r>
          </w:p>
        </w:tc>
        <w:tc>
          <w:tcPr>
            <w:tcW w:type="dxa" w:w="7272"/>
            <w:tcMar>
              <w:top w:w="75" w:type="dxa"/>
              <w:start w:w="85" w:type="dxa"/>
              <w:bottom w:w="75" w:type="dxa"/>
              <w:end w:w="85" w:type="dxa"/>
            </w:tcMar>
            <w:vAlign w:val="top"/>
          </w:tcPr>
          <w:p>
            <w:pPr>
              <w:spacing w:after="0"/>
            </w:pPr>
            <w:r>
              <w:rPr>
                <w:rFonts w:ascii="Arial" w:hAnsi="Arial"/>
                <w:color w:val="24313A"/>
                <w:sz w:val="15"/>
              </w:rPr>
              <w:t>Human-touch rate; escalation precision/recall; sampled false-negative rate; decision-ledger completeness; cost and latency per analysis item.</w:t>
            </w:r>
          </w:p>
        </w:tc>
      </w:tr>
      <w:tr>
        <w:trPr>
          <w:cantSplit/>
        </w:trPr>
        <w:tc>
          <w:tcPr>
            <w:tcW w:type="dxa" w:w="2232"/>
            <w:tcMar>
              <w:top w:w="75" w:type="dxa"/>
              <w:start w:w="85" w:type="dxa"/>
              <w:bottom w:w="75" w:type="dxa"/>
              <w:end w:w="85" w:type="dxa"/>
            </w:tcMar>
            <w:vAlign w:val="top"/>
          </w:tcPr>
          <w:p>
            <w:pPr>
              <w:spacing w:after="0"/>
            </w:pPr>
            <w:r>
              <w:rPr>
                <w:rFonts w:ascii="Arial" w:hAnsi="Arial"/>
                <w:color w:val="24313A"/>
                <w:sz w:val="15"/>
              </w:rPr>
              <w:t>Perspective integrity</w:t>
            </w:r>
          </w:p>
        </w:tc>
        <w:tc>
          <w:tcPr>
            <w:tcW w:type="dxa" w:w="7272"/>
            <w:tcMar>
              <w:top w:w="75" w:type="dxa"/>
              <w:start w:w="85" w:type="dxa"/>
              <w:bottom w:w="75" w:type="dxa"/>
              <w:end w:w="85" w:type="dxa"/>
            </w:tcMar>
            <w:vAlign w:val="top"/>
          </w:tcPr>
          <w:p>
            <w:pPr>
              <w:spacing w:after="0"/>
            </w:pPr>
            <w:r>
              <w:rPr>
                <w:rFonts w:ascii="Arial" w:hAnsi="Arial"/>
                <w:color w:val="24313A"/>
                <w:sz w:val="15"/>
              </w:rPr>
              <w:t>Invariance-test pass rate; assumption disclosure; side-by-side completeness; framing audits; user understanding of fact versus value differences.</w:t>
            </w:r>
          </w:p>
        </w:tc>
      </w:tr>
    </w:tbl>
    <w:p>
      <w:pPr>
        <w:pStyle w:val="Heading2"/>
      </w:pPr>
      <w:r>
        <w:t>17.3 Major risks and mitigations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880"/>
            <w:shd w:fill="17324D"/>
            <w:tcMar>
              <w:top w:w="90" w:type="dxa"/>
              <w:start w:w="90" w:type="dxa"/>
              <w:bottom w:w="90" w:type="dxa"/>
              <w:end w:w="90" w:type="dxa"/>
            </w:tcMar>
            <w:vAlign w:val="center"/>
          </w:tcPr>
          <w:p>
            <w:pPr>
              <w:jc w:val="left"/>
            </w:pPr>
            <w:r>
              <w:rPr>
                <w:rFonts w:ascii="Arial" w:hAnsi="Arial"/>
                <w:b/>
                <w:color w:val="FFFFFF"/>
                <w:sz w:val="16"/>
              </w:rPr>
              <w:t>Risk</w:t>
            </w:r>
          </w:p>
        </w:tc>
        <w:tc>
          <w:tcPr>
            <w:tcW w:type="dxa" w:w="6624"/>
            <w:shd w:fill="17324D"/>
            <w:tcMar>
              <w:top w:w="90" w:type="dxa"/>
              <w:start w:w="90" w:type="dxa"/>
              <w:bottom w:w="90" w:type="dxa"/>
              <w:end w:w="90" w:type="dxa"/>
            </w:tcMar>
            <w:vAlign w:val="center"/>
          </w:tcPr>
          <w:p>
            <w:pPr>
              <w:jc w:val="left"/>
            </w:pPr>
            <w:r>
              <w:rPr>
                <w:rFonts w:ascii="Arial" w:hAnsi="Arial"/>
                <w:b/>
                <w:color w:val="FFFFFF"/>
                <w:sz w:val="16"/>
              </w:rPr>
              <w:t>Primary mitigation</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Partisan capture or perceived bias</w:t>
            </w:r>
          </w:p>
        </w:tc>
        <w:tc>
          <w:tcPr>
            <w:tcW w:type="dxa" w:w="6624"/>
            <w:tcMar>
              <w:top w:w="75" w:type="dxa"/>
              <w:start w:w="85" w:type="dxa"/>
              <w:bottom w:w="75" w:type="dxa"/>
              <w:end w:w="85" w:type="dxa"/>
            </w:tcMar>
            <w:vAlign w:val="top"/>
          </w:tcPr>
          <w:p>
            <w:pPr>
              <w:spacing w:after="0"/>
            </w:pPr>
            <w:r>
              <w:rPr>
                <w:rFonts w:ascii="Arial" w:hAnsi="Arial"/>
                <w:color w:val="24313A"/>
                <w:sz w:val="15"/>
              </w:rPr>
              <w:t>Transparent methods, diverse governance, equal evidence rules, external audits, and visible corrections.</w:t>
            </w:r>
          </w:p>
        </w:tc>
      </w:tr>
      <w:tr>
        <w:trPr>
          <w:cantSplit/>
        </w:trPr>
        <w:tc>
          <w:tcPr>
            <w:tcW w:type="dxa" w:w="2880"/>
            <w:shd w:fill="F7F9FA"/>
            <w:tcMar>
              <w:top w:w="75" w:type="dxa"/>
              <w:start w:w="85" w:type="dxa"/>
              <w:bottom w:w="75" w:type="dxa"/>
              <w:end w:w="85" w:type="dxa"/>
            </w:tcMar>
            <w:vAlign w:val="top"/>
          </w:tcPr>
          <w:p>
            <w:r>
              <w:t>False accusation from targeted-provision analysis</w:t>
            </w:r>
          </w:p>
        </w:tc>
        <w:tc>
          <w:tcPr>
            <w:tcW w:type="dxa" w:w="6624"/>
            <w:shd w:fill="F7F9FA"/>
            <w:tcMar>
              <w:top w:w="75" w:type="dxa"/>
              <w:start w:w="85" w:type="dxa"/>
              <w:bottom w:w="75" w:type="dxa"/>
              <w:end w:w="85" w:type="dxa"/>
            </w:tcMar>
            <w:vAlign w:val="top"/>
          </w:tcPr>
          <w:p>
            <w:r>
              <w:t>Neutral public indicators, no automated “loophole” label, documented reviewed-characterization standard, careful headlines, legal/subject review for named entities, and right of response.</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Model false precision</w:t>
            </w:r>
          </w:p>
        </w:tc>
        <w:tc>
          <w:tcPr>
            <w:tcW w:type="dxa" w:w="6624"/>
            <w:tcMar>
              <w:top w:w="75" w:type="dxa"/>
              <w:start w:w="85" w:type="dxa"/>
              <w:bottom w:w="75" w:type="dxa"/>
              <w:end w:w="85" w:type="dxa"/>
            </w:tcMar>
            <w:vAlign w:val="top"/>
          </w:tcPr>
          <w:p>
            <w:pPr>
              <w:spacing w:after="0"/>
            </w:pPr>
            <w:r>
              <w:rPr>
                <w:rFonts w:ascii="Arial" w:hAnsi="Arial"/>
                <w:color w:val="24313A"/>
                <w:sz w:val="15"/>
              </w:rPr>
              <w:t>Ranges, sensitivity, unscorable status, component breakdowns, and no single opaque score.</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Incomplete or changing text</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Version identity, source reconciliation, preliminary labels, and automatic reanalysis.</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Complex interactions</w:t>
            </w:r>
          </w:p>
        </w:tc>
        <w:tc>
          <w:tcPr>
            <w:tcW w:type="dxa" w:w="6624"/>
            <w:tcMar>
              <w:top w:w="75" w:type="dxa"/>
              <w:start w:w="85" w:type="dxa"/>
              <w:bottom w:w="75" w:type="dxa"/>
              <w:end w:w="85" w:type="dxa"/>
            </w:tcMar>
            <w:vAlign w:val="top"/>
          </w:tcPr>
          <w:p>
            <w:pPr>
              <w:spacing w:after="0"/>
            </w:pPr>
            <w:r>
              <w:rPr>
                <w:rFonts w:ascii="Arial" w:hAnsi="Arial"/>
                <w:color w:val="24313A"/>
                <w:sz w:val="15"/>
              </w:rPr>
              <w:t>Modular rule engine, integration tests, supported-domain boundaries, and expert review.</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Source instability / API limits</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Bulk snapshots, caching, connector monitoring, fallback sources, and source agreements where possible.</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Entity-resolution errors</w:t>
            </w:r>
          </w:p>
        </w:tc>
        <w:tc>
          <w:tcPr>
            <w:tcW w:type="dxa" w:w="6624"/>
            <w:tcMar>
              <w:top w:w="75" w:type="dxa"/>
              <w:start w:w="85" w:type="dxa"/>
              <w:bottom w:w="75" w:type="dxa"/>
              <w:end w:w="85" w:type="dxa"/>
            </w:tcMar>
            <w:vAlign w:val="top"/>
          </w:tcPr>
          <w:p>
            <w:pPr>
              <w:spacing w:after="0"/>
            </w:pPr>
            <w:r>
              <w:rPr>
                <w:rFonts w:ascii="Arial" w:hAnsi="Arial"/>
                <w:color w:val="24313A"/>
                <w:sz w:val="15"/>
              </w:rPr>
              <w:t>Confidence, multiple identifiers, human review, no identity claim from name match alone.</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High operating cost</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Focused MVP, tiered modeling, reusable open components, partnerships, and compute budgets.</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AI hallucination or drift</w:t>
            </w:r>
          </w:p>
        </w:tc>
        <w:tc>
          <w:tcPr>
            <w:tcW w:type="dxa" w:w="6624"/>
            <w:tcMar>
              <w:top w:w="75" w:type="dxa"/>
              <w:start w:w="85" w:type="dxa"/>
              <w:bottom w:w="75" w:type="dxa"/>
              <w:end w:w="85" w:type="dxa"/>
            </w:tcMar>
            <w:vAlign w:val="top"/>
          </w:tcPr>
          <w:p>
            <w:pPr>
              <w:spacing w:after="0"/>
            </w:pPr>
            <w:r>
              <w:rPr>
                <w:rFonts w:ascii="Arial" w:hAnsi="Arial"/>
                <w:color w:val="24313A"/>
                <w:sz w:val="15"/>
              </w:rPr>
              <w:t>Grounded schemas, evaluations, deterministic calculations, model versioning, and release gates.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Security or tampering</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Immutable snapshots, signed builds, least privilege, tamper-evident audit, backups, and incident disclosure.</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Residual naming / affiliation confusion</w:t>
            </w:r>
          </w:p>
        </w:tc>
        <w:tc>
          <w:tcPr>
            <w:tcW w:type="dxa" w:w="6624"/>
            <w:tcMar>
              <w:top w:w="75" w:type="dxa"/>
              <w:start w:w="85" w:type="dxa"/>
              <w:bottom w:w="75" w:type="dxa"/>
              <w:end w:w="85" w:type="dxa"/>
            </w:tcMar>
            <w:vAlign w:val="top"/>
          </w:tcPr>
          <w:p>
            <w:pPr>
              <w:spacing w:after="0"/>
            </w:pPr>
            <w:r>
              <w:rPr>
                <w:rFonts w:ascii="Arial" w:hAnsi="Arial"/>
                <w:color w:val="24313A"/>
                <w:sz w:val="15"/>
              </w:rPr>
              <w:t>Use The People’s Ledger consistently; preserve the former name only in revision history; complete ordinary trademark, domain, and brand review.</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Public misuse of estimates</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Clear limitations, scenario disclosure, downloadable evidence, and no personal-advice framing.</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Analyst bottleneck during legislative surges</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Publication lanes, materiality triage, risk-based escalation, provisional labeling, sampled review, queue metrics, and no universal analyst gate.</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Hidden ideological steering</w:t>
            </w:r>
          </w:p>
        </w:tc>
        <w:tc>
          <w:tcPr>
            <w:tcW w:type="dxa" w:w="6624"/>
            <w:shd w:fill="F7F9FA"/>
            <w:tcMar>
              <w:top w:w="75" w:type="dxa"/>
              <w:start w:w="85" w:type="dxa"/>
              <w:bottom w:w="75" w:type="dxa"/>
              <w:end w:w="85" w:type="dxa"/>
            </w:tcMar>
            <w:vAlign w:val="top"/>
          </w:tcPr>
          <w:p>
            <w:r>
              <w:t>Invariant evidence layer, methods-governed model scenarios, versioned perspective profiles, side-by-side display, profile governance, and automated invariance tests.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Confident AI failure</w:t>
            </w:r>
          </w:p>
        </w:tc>
        <w:tc>
          <w:tcPr>
            <w:tcW w:type="dxa" w:w="6624"/>
            <w:shd w:fill="F7F9FA"/>
            <w:tcMar>
              <w:top w:w="75" w:type="dxa"/>
              <w:start w:w="85" w:type="dxa"/>
              <w:bottom w:w="75" w:type="dxa"/>
              <w:end w:w="85" w:type="dxa"/>
            </w:tcMar>
            <w:vAlign w:val="top"/>
          </w:tcPr>
          <w:p>
            <w:r>
              <w:t>Deterministic statutory transformations and calculations, correlated-failure testing, challenge agents, random audits, calibrated thresholds, correction-derived tests, and retrospective reprocessing.</w:t>
            </w:r>
          </w:p>
        </w:tc>
      </w:tr>
      <w:tr>
        <w:tc>
          <w:tcPr>
            <w:tcW w:type="dxa" w:w="4939"/>
          </w:tcPr>
          <w:p>
            <w:r>
              <w:t>Exposure of household financial inputs</w:t>
            </w:r>
          </w:p>
        </w:tc>
        <w:tc>
          <w:tcPr>
            <w:tcW w:type="dxa" w:w="4939"/>
          </w:tcPr>
          <w:p>
            <w:r>
              <w:t>Browser-local execution, no transmission or server logging, third-party script isolation, clear local deletion, automated egress tests, and no sensitive identifiers.</w:t>
            </w:r>
          </w:p>
        </w:tc>
      </w:tr>
    </w:tbl>
    <w:p>
      <w:bookmarkStart w:id="180" w:name="decisions"/>
      <w:pPr>
        <w:pStyle w:val="Heading1"/>
      </w:pPr>
      <w:r>
        <w:t>18. Open decisions</w:t>
      </w:r>
      <w:bookmarkEnd w:id="180"/>
    </w:p>
    <w:p>
      <w:pPr>
        <w:spacing w:after="120" w:line="259" w:lineRule="auto"/>
      </w:pPr>
      <w:r>
        <w:rPr>
          <w:rFonts w:ascii="Arial" w:hAnsi="Arial"/>
          <w:color w:val="24313A"/>
          <w:sz w:val="19"/>
        </w:rPr>
        <w:t>The following decisions should be resolved through prototype evidence, advisory input, and explicit governance—not by defaulting to whichever technology or advocacy frame is most convenient.</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880"/>
            <w:shd w:fill="17324D"/>
            <w:tcMar>
              <w:top w:w="90" w:type="dxa"/>
              <w:start w:w="90" w:type="dxa"/>
              <w:bottom w:w="90" w:type="dxa"/>
              <w:end w:w="90" w:type="dxa"/>
            </w:tcMar>
            <w:vAlign w:val="center"/>
          </w:tcPr>
          <w:p>
            <w:pPr>
              <w:jc w:val="left"/>
            </w:pPr>
            <w:r>
              <w:rPr>
                <w:rFonts w:ascii="Arial" w:hAnsi="Arial"/>
                <w:b/>
                <w:color w:val="FFFFFF"/>
                <w:sz w:val="16"/>
              </w:rPr>
              <w:t>Decision</w:t>
            </w:r>
          </w:p>
        </w:tc>
        <w:tc>
          <w:tcPr>
            <w:tcW w:type="dxa" w:w="6624"/>
            <w:shd w:fill="17324D"/>
            <w:tcMar>
              <w:top w:w="90" w:type="dxa"/>
              <w:start w:w="90" w:type="dxa"/>
              <w:bottom w:w="90" w:type="dxa"/>
              <w:end w:w="90" w:type="dxa"/>
            </w:tcMar>
            <w:vAlign w:val="center"/>
          </w:tcPr>
          <w:p>
            <w:pPr>
              <w:jc w:val="left"/>
            </w:pPr>
            <w:r>
              <w:rPr>
                <w:rFonts w:ascii="Arial" w:hAnsi="Arial"/>
                <w:b/>
                <w:color w:val="FFFFFF"/>
                <w:sz w:val="16"/>
              </w:rPr>
              <w:t>Question</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Institutional form</w:t>
            </w:r>
          </w:p>
        </w:tc>
        <w:tc>
          <w:tcPr>
            <w:tcW w:type="dxa" w:w="6624"/>
            <w:tcMar>
              <w:top w:w="75" w:type="dxa"/>
              <w:start w:w="85" w:type="dxa"/>
              <w:bottom w:w="75" w:type="dxa"/>
              <w:end w:w="85" w:type="dxa"/>
            </w:tcMar>
            <w:vAlign w:val="top"/>
          </w:tcPr>
          <w:p>
            <w:pPr>
              <w:spacing w:after="0"/>
            </w:pPr>
            <w:r>
              <w:rPr>
                <w:rFonts w:ascii="Arial" w:hAnsi="Arial"/>
                <w:color w:val="24313A"/>
                <w:sz w:val="15"/>
              </w:rPr>
              <w:t>The public product name is resolved as The People’s Ledger. Determine nonprofit, research-center, public-benefit, or other institutional form and ownership of methods, code, and public assets.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Analytical boundary</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How much indirect price, wage, macroeconomic, environmental, health, and intergenerational impact is included versus linked from partners?</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Model strategy</w:t>
            </w:r>
          </w:p>
        </w:tc>
        <w:tc>
          <w:tcPr>
            <w:tcW w:type="dxa" w:w="6624"/>
            <w:tcMar>
              <w:top w:w="75" w:type="dxa"/>
              <w:start w:w="85" w:type="dxa"/>
              <w:bottom w:w="75" w:type="dxa"/>
              <w:end w:w="85" w:type="dxa"/>
            </w:tcMar>
            <w:vAlign w:val="top"/>
          </w:tcPr>
          <w:p>
            <w:r>
              <w:t>Which canonical base models and approved alternative technical scenarios should be built, integrated, contracted, or partnered, and how are scenario changes governed?</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Public profile privacy</w:t>
            </w:r>
          </w:p>
        </w:tc>
        <w:tc>
          <w:tcPr>
            <w:tcW w:type="dxa" w:w="6624"/>
            <w:shd w:fill="F7F9FA"/>
            <w:tcMar>
              <w:top w:w="75" w:type="dxa"/>
              <w:start w:w="85" w:type="dxa"/>
              <w:bottom w:w="75" w:type="dxa"/>
              <w:end w:w="85" w:type="dxa"/>
            </w:tcMar>
            <w:vAlign w:val="top"/>
          </w:tcPr>
          <w:p>
            <w:r>
              <w:t>POC browser-local, no-transmission operation is adopted. At a later phase, should the platform ever offer opt-in encrypted server storage, and under what independent privacy review?</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Escalation and publication thresholds</w:t>
            </w:r>
          </w:p>
        </w:tc>
        <w:tc>
          <w:tcPr>
            <w:tcW w:type="dxa" w:w="6624"/>
            <w:tcMar>
              <w:top w:w="75" w:type="dxa"/>
              <w:start w:w="85" w:type="dxa"/>
              <w:bottom w:w="75" w:type="dxa"/>
              <w:end w:w="85" w:type="dxa"/>
            </w:tcMar>
            <w:vAlign w:val="top"/>
          </w:tcPr>
          <w:p>
            <w:pPr>
              <w:spacing w:after="0"/>
            </w:pPr>
            <w:r>
              <w:rPr>
                <w:rFonts w:ascii="Arial" w:hAnsi="Arial"/>
                <w:color w:val="24313A"/>
                <w:sz w:val="15"/>
              </w:rPr>
              <w:t>Factual/provisional/verified lanes are adopted; determine exact risk thresholds, sampling rates, named-entity rules, and review-service levels.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Commentary layer</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Host external arguments and annotations, link to them, or keep the platform analysis-only?</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Coverage promise</w:t>
            </w:r>
          </w:p>
        </w:tc>
        <w:tc>
          <w:tcPr>
            <w:tcW w:type="dxa" w:w="6624"/>
            <w:tcMar>
              <w:top w:w="75" w:type="dxa"/>
              <w:start w:w="85" w:type="dxa"/>
              <w:bottom w:w="75" w:type="dxa"/>
              <w:end w:w="85" w:type="dxa"/>
            </w:tcMar>
            <w:vAlign w:val="top"/>
          </w:tcPr>
          <w:p>
            <w:pPr>
              <w:spacing w:after="0"/>
            </w:pPr>
            <w:r>
              <w:rPr>
                <w:rFonts w:ascii="Arial" w:hAnsi="Arial"/>
                <w:color w:val="24313A"/>
                <w:sz w:val="15"/>
              </w:rPr>
              <w:t>Curated major legislation, all bills in supported domains, or all federal bills with tiered depth?</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5"/>
              </w:rPr>
              <w:t>Funding safeguards</w:t>
            </w:r>
          </w:p>
        </w:tc>
        <w:tc>
          <w:tcPr>
            <w:tcW w:type="dxa" w:w="6624"/>
            <w:tcMar>
              <w:top w:w="75" w:type="dxa"/>
              <w:start w:w="85" w:type="dxa"/>
              <w:bottom w:w="75" w:type="dxa"/>
              <w:end w:w="85" w:type="dxa"/>
            </w:tcMar>
            <w:vAlign w:val="top"/>
          </w:tcPr>
          <w:p>
            <w:pPr>
              <w:spacing w:after="0"/>
            </w:pPr>
            <w:r>
              <w:rPr>
                <w:rFonts w:ascii="Arial" w:hAnsi="Arial"/>
                <w:color w:val="24313A"/>
                <w:sz w:val="15"/>
              </w:rPr>
              <w:t>What donor limits, disclosure thresholds, restricted-fund rules, and analytical firewall are required?</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Correction appeals</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Who can appeal a decision, who adjudicates, and what is public?</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Official collaboration</w:t>
            </w:r>
          </w:p>
        </w:tc>
        <w:tc>
          <w:tcPr>
            <w:tcW w:type="dxa" w:w="6624"/>
            <w:shd w:fill="F7F9FA"/>
            <w:tcMar>
              <w:top w:w="75" w:type="dxa"/>
              <w:start w:w="85" w:type="dxa"/>
              <w:bottom w:w="75" w:type="dxa"/>
              <w:end w:w="85" w:type="dxa"/>
            </w:tcMar>
            <w:vAlign w:val="top"/>
          </w:tcPr>
          <w:p>
            <w:pPr>
              <w:spacing w:after="0"/>
            </w:pPr>
            <w:r>
              <w:rPr>
                <w:rFonts w:ascii="Arial" w:hAnsi="Arial"/>
                <w:color w:val="24313A"/>
                <w:sz w:val="15"/>
              </w:rPr>
              <w:t>How to collaborate with CBO, JCT, GPO, Library of Congress, agencies, universities, and civic organizations while remaining independent?</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Perspective profile governance</w:t>
            </w:r>
          </w:p>
        </w:tc>
        <w:tc>
          <w:tcPr>
            <w:tcW w:type="dxa" w:w="6624"/>
            <w:shd w:fill="F7F9FA"/>
            <w:tcMar>
              <w:top w:w="75" w:type="dxa"/>
              <w:start w:w="85" w:type="dxa"/>
              <w:bottom w:w="75" w:type="dxa"/>
              <w:end w:w="85" w:type="dxa"/>
            </w:tcMar>
            <w:vAlign w:val="top"/>
          </w:tcPr>
          <w:p>
            <w:r>
              <w:t>Who may author official profiles, what source documentation is required, how value priorities and reporting emphasis are governed, and how disputes or profile changes are reviewed without altering model scenarios?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5"/>
              </w:rPr>
              <w:t>Decision-ledger transparency</w:t>
            </w:r>
          </w:p>
        </w:tc>
        <w:tc>
          <w:tcPr>
            <w:tcW w:type="dxa" w:w="6624"/>
            <w:shd w:fill="F7F9FA"/>
            <w:tcMar>
              <w:top w:w="75" w:type="dxa"/>
              <w:start w:w="85" w:type="dxa"/>
              <w:bottom w:w="75" w:type="dxa"/>
              <w:end w:w="85" w:type="dxa"/>
            </w:tcMar>
            <w:vAlign w:val="top"/>
          </w:tcPr>
          <w:p>
            <w:r>
              <w:t>Which ledger fields are public, delayed, summarized, restricted, redacted, retained, or deletable for security, privacy, legal, source-rights, or model-abuse reasons?</w:t>
            </w:r>
          </w:p>
        </w:tc>
      </w:tr>
    </w:tbl>
    <w:tbl>
      <w:tblPr>
        <w:tblW w:type="auto" w:w="0"/>
        <w:jc w:val="center"/>
        <w:tblLayout w:type="fixed"/>
        <w:tblLook w:firstColumn="1" w:firstRow="1" w:lastColumn="0" w:lastRow="0" w:noHBand="0" w:noVBand="1" w:val="04A0"/>
        <w:tblBorders>
          <w:top w:val="single" w:sz="10" w:space="0" w:color="2B6F9F"/>
          <w:left w:val="single" w:sz="10" w:space="0" w:color="2B6F9F"/>
          <w:bottom w:val="single" w:sz="10" w:space="0" w:color="2B6F9F"/>
          <w:right w:val="single" w:sz="10" w:space="0" w:color="2B6F9F"/>
          <w:insideH w:val="single" w:sz="10" w:space="0" w:color="2B6F9F"/>
          <w:insideV w:val="single" w:sz="10" w:space="0" w:color="2B6F9F"/>
        </w:tblBorders>
      </w:tblPr>
      <w:tblGrid>
        <w:gridCol w:w="9504"/>
      </w:tblGrid>
      <w:tr>
        <w:trPr>
          <w:cantSplit/>
          <w:tblHeader w:val="true"/>
        </w:trPr>
        <w:tc>
          <w:tcPr>
            <w:tcW w:type="dxa" w:w="9878"/>
            <w:shd w:fill="EAF2F8"/>
            <w:tcMar>
              <w:top w:w="130" w:type="dxa"/>
              <w:start w:w="170" w:type="dxa"/>
              <w:bottom w:w="130" w:type="dxa"/>
              <w:end w:w="170" w:type="dxa"/>
            </w:tcMar>
          </w:tcPr>
          <w:p>
            <w:r>
              <w:t>Recommended next decision</w:t>
              <w:br/>
              <w:t>Approve the Version 0.3 analytical contract, neutral indicator terminology, hybrid statutory-transformation pipeline, browser-local privacy contract, model-scenario governance, AI Decision Ledger retention/disclosure rules, risk/escalation policy, perspective invariants, direct-federal POC boundary, and bounded manual exemplar before selecting a production technology stack.</w:t>
            </w:r>
          </w:p>
        </w:tc>
      </w:tr>
    </w:tbl>
    <w:p>
      <w:bookmarkStart w:id="190" w:name="appendices"/>
      <w:pPr>
        <w:pStyle w:val="Heading1"/>
      </w:pPr>
      <w:r>
        <w:t>Appendices</w:t>
      </w:r>
      <w:bookmarkEnd w:id="190"/>
    </w:p>
    <w:p>
      <w:pPr>
        <w:pStyle w:val="Heading2"/>
      </w:pPr>
      <w:r>
        <w:t>Appendix A — Example public report structure</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520"/>
            <w:shd w:fill="17324D"/>
            <w:tcMar>
              <w:top w:w="90" w:type="dxa"/>
              <w:start w:w="90" w:type="dxa"/>
              <w:bottom w:w="90" w:type="dxa"/>
              <w:end w:w="90" w:type="dxa"/>
            </w:tcMar>
            <w:vAlign w:val="center"/>
          </w:tcPr>
          <w:p>
            <w:pPr>
              <w:jc w:val="left"/>
            </w:pPr>
            <w:r>
              <w:rPr>
                <w:rFonts w:ascii="Arial" w:hAnsi="Arial"/>
                <w:b/>
                <w:color w:val="FFFFFF"/>
                <w:sz w:val="16"/>
              </w:rPr>
              <w:t>Section</w:t>
            </w:r>
          </w:p>
        </w:tc>
        <w:tc>
          <w:tcPr>
            <w:tcW w:type="dxa" w:w="6984"/>
            <w:shd w:fill="17324D"/>
            <w:tcMar>
              <w:top w:w="90" w:type="dxa"/>
              <w:start w:w="90" w:type="dxa"/>
              <w:bottom w:w="90" w:type="dxa"/>
              <w:end w:w="90" w:type="dxa"/>
            </w:tcMar>
            <w:vAlign w:val="center"/>
          </w:tcPr>
          <w:p>
            <w:pPr>
              <w:jc w:val="left"/>
            </w:pPr>
            <w:r>
              <w:rPr>
                <w:rFonts w:ascii="Arial" w:hAnsi="Arial"/>
                <w:b/>
                <w:color w:val="FFFFFF"/>
                <w:sz w:val="16"/>
              </w:rPr>
              <w:t>Contents</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5"/>
              </w:rPr>
              <w:t>1. At a glance</w:t>
            </w:r>
          </w:p>
        </w:tc>
        <w:tc>
          <w:tcPr>
            <w:tcW w:type="dxa" w:w="6984"/>
            <w:tcMar>
              <w:top w:w="75" w:type="dxa"/>
              <w:start w:w="85" w:type="dxa"/>
              <w:bottom w:w="75" w:type="dxa"/>
              <w:end w:w="85" w:type="dxa"/>
            </w:tcMar>
            <w:vAlign w:val="top"/>
          </w:tcPr>
          <w:p>
            <w:pPr>
              <w:spacing w:after="0"/>
            </w:pPr>
            <w:r>
              <w:rPr>
                <w:rFonts w:ascii="Arial" w:hAnsi="Arial"/>
                <w:color w:val="24313A"/>
                <w:sz w:val="15"/>
              </w:rPr>
              <w:t>Version analyzed, status, dates, one-paragraph summary, confidence, and major caveats.</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5"/>
              </w:rPr>
              <w:t>2. What changed</w:t>
            </w:r>
          </w:p>
        </w:tc>
        <w:tc>
          <w:tcPr>
            <w:tcW w:type="dxa" w:w="6984"/>
            <w:shd w:fill="F7F9FA"/>
            <w:tcMar>
              <w:top w:w="75" w:type="dxa"/>
              <w:start w:w="85" w:type="dxa"/>
              <w:bottom w:w="75" w:type="dxa"/>
              <w:end w:w="85" w:type="dxa"/>
            </w:tcMar>
            <w:vAlign w:val="top"/>
          </w:tcPr>
          <w:p>
            <w:pPr>
              <w:spacing w:after="0"/>
            </w:pPr>
            <w:r>
              <w:rPr>
                <w:rFonts w:ascii="Arial" w:hAnsi="Arial"/>
                <w:color w:val="24313A"/>
                <w:sz w:val="15"/>
              </w:rPr>
              <w:t>Ranked material changes from selected prior version/current law.</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5"/>
              </w:rPr>
              <w:t>3. Who is affected</w:t>
            </w:r>
          </w:p>
        </w:tc>
        <w:tc>
          <w:tcPr>
            <w:tcW w:type="dxa" w:w="6984"/>
            <w:tcMar>
              <w:top w:w="75" w:type="dxa"/>
              <w:start w:w="85" w:type="dxa"/>
              <w:bottom w:w="75" w:type="dxa"/>
              <w:end w:w="85" w:type="dxa"/>
            </w:tcMar>
            <w:vAlign w:val="top"/>
          </w:tcPr>
          <w:p>
            <w:pPr>
              <w:spacing w:after="0"/>
            </w:pPr>
            <w:r>
              <w:rPr>
                <w:rFonts w:ascii="Arial" w:hAnsi="Arial"/>
                <w:color w:val="24313A"/>
                <w:sz w:val="15"/>
              </w:rPr>
              <w:t>Population, household, entity, industry, geography, and implementation pathways.</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5"/>
              </w:rPr>
              <w:t>4. Household resource effects</w:t>
            </w:r>
          </w:p>
        </w:tc>
        <w:tc>
          <w:tcPr>
            <w:tcW w:type="dxa" w:w="6984"/>
            <w:shd w:fill="F7F9FA"/>
            <w:tcMar>
              <w:top w:w="75" w:type="dxa"/>
              <w:start w:w="85" w:type="dxa"/>
              <w:bottom w:w="75" w:type="dxa"/>
              <w:end w:w="85" w:type="dxa"/>
            </w:tcMar>
            <w:vAlign w:val="top"/>
          </w:tcPr>
          <w:p>
            <w:pPr>
              <w:spacing w:after="0"/>
            </w:pPr>
            <w:r>
              <w:rPr>
                <w:rFonts w:ascii="Arial" w:hAnsi="Arial"/>
                <w:color w:val="24313A"/>
                <w:sz w:val="15"/>
              </w:rPr>
              <w:t>Tax, transfers, benefits, premiums/fees, compliance, net, and uncertainty.</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5"/>
              </w:rPr>
              <w:t>5. Distribution</w:t>
            </w:r>
          </w:p>
        </w:tc>
        <w:tc>
          <w:tcPr>
            <w:tcW w:type="dxa" w:w="6984"/>
            <w:tcMar>
              <w:top w:w="75" w:type="dxa"/>
              <w:start w:w="85" w:type="dxa"/>
              <w:bottom w:w="75" w:type="dxa"/>
              <w:end w:w="85" w:type="dxa"/>
            </w:tcMar>
            <w:vAlign w:val="top"/>
          </w:tcPr>
          <w:p>
            <w:pPr>
              <w:spacing w:after="0"/>
            </w:pPr>
            <w:r>
              <w:rPr>
                <w:rFonts w:ascii="Arial" w:hAnsi="Arial"/>
                <w:color w:val="24313A"/>
                <w:sz w:val="15"/>
              </w:rPr>
              <w:t>Income percentiles, family types, age, income sources, business ownership, and geography as supported.</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5"/>
              </w:rPr>
              <w:t>6. Federal budget</w:t>
            </w:r>
          </w:p>
        </w:tc>
        <w:tc>
          <w:tcPr>
            <w:tcW w:type="dxa" w:w="6984"/>
            <w:shd w:fill="F7F9FA"/>
            <w:tcMar>
              <w:top w:w="75" w:type="dxa"/>
              <w:start w:w="85" w:type="dxa"/>
              <w:bottom w:w="75" w:type="dxa"/>
              <w:end w:w="85" w:type="dxa"/>
            </w:tcMar>
            <w:vAlign w:val="top"/>
          </w:tcPr>
          <w:p>
            <w:pPr>
              <w:spacing w:after="0"/>
            </w:pPr>
            <w:r>
              <w:rPr>
                <w:rFonts w:ascii="Arial" w:hAnsi="Arial"/>
                <w:color w:val="24313A"/>
                <w:sz w:val="15"/>
              </w:rPr>
              <w:t>Official score, platform coverage, differences, and ten-year profile.</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5"/>
              </w:rPr>
              <w:t>7. Narrow-benefit indicators</w:t>
            </w:r>
          </w:p>
        </w:tc>
        <w:tc>
          <w:tcPr>
            <w:tcW w:type="dxa" w:w="6984"/>
            <w:tcMar>
              <w:top w:w="75" w:type="dxa"/>
              <w:start w:w="85" w:type="dxa"/>
              <w:bottom w:w="75" w:type="dxa"/>
              <w:end w:w="85" w:type="dxa"/>
            </w:tcMar>
            <w:vAlign w:val="top"/>
          </w:tcPr>
          <w:p>
            <w:pPr>
              <w:spacing w:after="0"/>
            </w:pPr>
            <w:r>
              <w:rPr>
                <w:rFonts w:ascii="Arial" w:hAnsi="Arial"/>
                <w:color w:val="24313A"/>
                <w:sz w:val="15"/>
              </w:rPr>
              <w:t>Flag, evidence, likely beneficiary class, counterevidence, review status.</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5"/>
              </w:rPr>
              <w:t>8. Implementation</w:t>
            </w:r>
          </w:p>
        </w:tc>
        <w:tc>
          <w:tcPr>
            <w:tcW w:type="dxa" w:w="6984"/>
            <w:shd w:fill="F7F9FA"/>
            <w:tcMar>
              <w:top w:w="75" w:type="dxa"/>
              <w:start w:w="85" w:type="dxa"/>
              <w:bottom w:w="75" w:type="dxa"/>
              <w:end w:w="85" w:type="dxa"/>
            </w:tcMar>
            <w:vAlign w:val="top"/>
          </w:tcPr>
          <w:p>
            <w:pPr>
              <w:spacing w:after="0"/>
            </w:pPr>
            <w:r>
              <w:rPr>
                <w:rFonts w:ascii="Arial" w:hAnsi="Arial"/>
                <w:color w:val="24313A"/>
                <w:sz w:val="15"/>
              </w:rPr>
              <w:t>Agencies, regulations, systems, deadlines, appropriations, state choices, and data needed.</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5"/>
              </w:rPr>
              <w:t>9. Model comparison</w:t>
            </w:r>
          </w:p>
        </w:tc>
        <w:tc>
          <w:tcPr>
            <w:tcW w:type="dxa" w:w="6984"/>
            <w:tcMar>
              <w:top w:w="75" w:type="dxa"/>
              <w:start w:w="85" w:type="dxa"/>
              <w:bottom w:w="75" w:type="dxa"/>
              <w:end w:w="85" w:type="dxa"/>
            </w:tcMar>
            <w:vAlign w:val="top"/>
          </w:tcPr>
          <w:p>
            <w:pPr>
              <w:spacing w:after="0"/>
            </w:pPr>
            <w:r>
              <w:rPr>
                <w:rFonts w:ascii="Arial" w:hAnsi="Arial"/>
                <w:color w:val="24313A"/>
                <w:sz w:val="15"/>
              </w:rPr>
              <w:t>Official and credible independent estimates with assumption differences.</w:t>
            </w:r>
          </w:p>
        </w:tc>
      </w:tr>
      <w:tr>
        <w:trPr>
          <w:cantSplit/>
        </w:trPr>
        <w:tc>
          <w:tcPr>
            <w:tcW w:type="dxa" w:w="2520"/>
            <w:shd w:fill="F7F9FA"/>
            <w:tcMar>
              <w:top w:w="75" w:type="dxa"/>
              <w:start w:w="85" w:type="dxa"/>
              <w:bottom w:w="75" w:type="dxa"/>
              <w:end w:w="85" w:type="dxa"/>
            </w:tcMar>
            <w:vAlign w:val="top"/>
          </w:tcPr>
          <w:p>
            <w:pPr>
              <w:spacing w:after="0"/>
            </w:pPr>
            <w:r>
              <w:rPr>
                <w:rFonts w:ascii="Arial" w:hAnsi="Arial"/>
                <w:color w:val="24313A"/>
                <w:sz w:val="15"/>
              </w:rPr>
              <w:t>10. Evidence and methods</w:t>
            </w:r>
          </w:p>
        </w:tc>
        <w:tc>
          <w:tcPr>
            <w:tcW w:type="dxa" w:w="6984"/>
            <w:shd w:fill="F7F9FA"/>
            <w:tcMar>
              <w:top w:w="75" w:type="dxa"/>
              <w:start w:w="85" w:type="dxa"/>
              <w:bottom w:w="75" w:type="dxa"/>
              <w:end w:w="85" w:type="dxa"/>
            </w:tcMar>
            <w:vAlign w:val="top"/>
          </w:tcPr>
          <w:p>
            <w:pPr>
              <w:spacing w:after="0"/>
            </w:pPr>
            <w:r>
              <w:rPr>
                <w:rFonts w:ascii="Arial" w:hAnsi="Arial"/>
                <w:color w:val="24313A"/>
                <w:sz w:val="15"/>
              </w:rPr>
              <w:t>Source text, citations, models, data vintage, assumptions, test/reconciliation status, reviewer, and corrections.</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5"/>
              </w:rPr>
              <w:t>11. Downloads</w:t>
            </w:r>
          </w:p>
        </w:tc>
        <w:tc>
          <w:tcPr>
            <w:tcW w:type="dxa" w:w="6984"/>
            <w:tcMar>
              <w:top w:w="75" w:type="dxa"/>
              <w:start w:w="85" w:type="dxa"/>
              <w:bottom w:w="75" w:type="dxa"/>
              <w:end w:w="85" w:type="dxa"/>
            </w:tcMar>
            <w:vAlign w:val="top"/>
          </w:tcPr>
          <w:p>
            <w:pPr>
              <w:spacing w:after="0"/>
            </w:pPr>
            <w:r>
              <w:rPr>
                <w:rFonts w:ascii="Arial" w:hAnsi="Arial"/>
                <w:color w:val="24313A"/>
                <w:sz w:val="15"/>
              </w:rPr>
              <w:t>Source manifest, provision data, impact tables, methodology, and API links.</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5"/>
              </w:rPr>
              <w:t>12. Maturity and decision trace</w:t>
            </w:r>
          </w:p>
        </w:tc>
        <w:tc>
          <w:tcPr>
            <w:tcW w:type="dxa" w:w="6984"/>
            <w:tcMar>
              <w:top w:w="75" w:type="dxa"/>
              <w:start w:w="85" w:type="dxa"/>
              <w:bottom w:w="75" w:type="dxa"/>
              <w:end w:w="85" w:type="dxa"/>
            </w:tcMar>
            <w:vAlign w:val="top"/>
          </w:tcPr>
          <w:p>
            <w:pPr>
              <w:spacing w:after="0"/>
            </w:pPr>
            <w:r>
              <w:rPr>
                <w:rFonts w:ascii="Arial" w:hAnsi="Arial"/>
                <w:color w:val="24313A"/>
                <w:sz w:val="15"/>
              </w:rPr>
              <w:t>Claim-level publication states, validators, risk, AI Decision Ledger summary, triggered/sampled review, correction and supersession trail.</w:t>
            </w:r>
          </w:p>
        </w:tc>
      </w:tr>
      <w:tr>
        <w:trPr>
          <w:cantSplit/>
        </w:trPr>
        <w:tc>
          <w:tcPr>
            <w:tcW w:type="dxa" w:w="2520"/>
            <w:tcMar>
              <w:top w:w="75" w:type="dxa"/>
              <w:start w:w="85" w:type="dxa"/>
              <w:bottom w:w="75" w:type="dxa"/>
              <w:end w:w="85" w:type="dxa"/>
            </w:tcMar>
            <w:vAlign w:val="top"/>
          </w:tcPr>
          <w:p>
            <w:pPr>
              <w:spacing w:after="0"/>
            </w:pPr>
            <w:r>
              <w:rPr>
                <w:rFonts w:ascii="Arial" w:hAnsi="Arial"/>
                <w:color w:val="24313A"/>
                <w:sz w:val="15"/>
              </w:rPr>
              <w:t>13. Perspective comparison</w:t>
            </w:r>
          </w:p>
        </w:tc>
        <w:tc>
          <w:tcPr>
            <w:tcW w:type="dxa" w:w="6984"/>
            <w:tcMar>
              <w:top w:w="75" w:type="dxa"/>
              <w:start w:w="85" w:type="dxa"/>
              <w:bottom w:w="75" w:type="dxa"/>
              <w:end w:w="85" w:type="dxa"/>
            </w:tcMar>
            <w:vAlign w:val="top"/>
          </w:tcPr>
          <w:p>
            <w:pPr>
              <w:spacing w:after="0"/>
            </w:pPr>
            <w:r>
              <w:rPr>
                <w:rFonts w:ascii="Arial" w:hAnsi="Arial"/>
                <w:color w:val="24313A"/>
                <w:sz w:val="15"/>
              </w:rPr>
              <w:t>Side-by-side principle-based assessments, differing assumptions, invariant evidence, agreements, tradeoffs, and counterarguments.</w:t>
            </w:r>
          </w:p>
        </w:tc>
      </w:tr>
    </w:tbl>
    <w:p>
      <w:pPr>
        <w:pStyle w:val="Heading2"/>
      </w:pPr>
      <w:r>
        <w:t>Appendix B — Provision schema excerpt</w:t>
      </w:r>
    </w:p>
    <w:tbl>
      <w:tblPr>
        <w:tblW w:type="auto" w:w="0"/>
        <w:jc w:val="center"/>
        <w:tblLayout w:type="fixed"/>
        <w:tblLook w:firstColumn="1" w:firstRow="1" w:lastColumn="0" w:lastRow="0" w:noHBand="0" w:noVBand="1" w:val="04A0"/>
        <w:tblBorders>
          <w:top w:val="single" w:sz="8" w:space="0" w:color="D5DCE2"/>
          <w:left w:val="single" w:sz="8" w:space="0" w:color="D5DCE2"/>
          <w:bottom w:val="single" w:sz="8" w:space="0" w:color="D5DCE2"/>
          <w:right w:val="single" w:sz="8" w:space="0" w:color="D5DCE2"/>
          <w:insideH w:val="single" w:sz="8" w:space="0" w:color="D5DCE2"/>
          <w:insideV w:val="single" w:sz="8" w:space="0" w:color="D5DCE2"/>
        </w:tblBorders>
      </w:tblPr>
      <w:tblGrid>
        <w:gridCol w:w="9878"/>
      </w:tblGrid>
      <w:tr>
        <w:trPr>
          <w:cantSplit/>
          <w:tblHeader w:val="true"/>
        </w:trPr>
        <w:tc>
          <w:tcPr>
            <w:tcW w:type="dxa" w:w="9432"/>
            <w:shd w:fill="F2F4F6"/>
            <w:tcMar>
              <w:top w:w="130" w:type="dxa"/>
              <w:start w:w="140" w:type="dxa"/>
              <w:bottom w:w="130" w:type="dxa"/>
              <w:end w:w="140" w:type="dxa"/>
            </w:tcMar>
          </w:tcPr>
          <w:p>
            <w:pPr>
              <w:spacing w:after="0"/>
            </w:pPr>
            <w:r>
              <w:rPr>
                <w:rFonts w:ascii="Courier New" w:hAnsi="Courier New"/>
                <w:color w:val="24313A"/>
                <w:sz w:val="15"/>
              </w:rPr>
              <w:t>provision:</w:t>
              <w:br/>
              <w:t xml:space="preserve">  id: "prov_01J..."</w:t>
              <w:br/>
              <w:t xml:space="preserve">  analysis_unit_id: "au_01J..."</w:t>
              <w:br/>
              <w:t xml:space="preserve">  measure_id: "uscongress-115-hr-1"</w:t>
              <w:br/>
              <w:t xml:space="preserve">  document_version_id: "...-enr"</w:t>
              <w:br/>
              <w:t xml:space="preserve">  source_spans:</w:t>
              <w:br/>
              <w:t xml:space="preserve">    - node_id: "sec_11001_a_1"</w:t>
              <w:br/>
              <w:t xml:space="preserve">      text_hash: "sha256:..."</w:t>
              <w:br/>
              <w:t xml:space="preserve">  action: "modify"</w:t>
              <w:br/>
              <w:t xml:space="preserve">  affected_authority:</w:t>
              <w:br/>
              <w:t xml:space="preserve">    - type: "usc"</w:t>
              <w:br/>
              <w:t xml:space="preserve">      citation: "26 USC 1"</w:t>
              <w:br/>
              <w:t xml:space="preserve">  policy_domain: ["tax", "individual"]</w:t>
              <w:br/>
              <w:t xml:space="preserve">  baseline_id: "current-law-2017-11-01"</w:t>
              <w:br/>
              <w:t xml:space="preserve">  eligibility:</w:t>
              <w:br/>
              <w:t xml:space="preserve">    population: "individual income tax units"</w:t>
              <w:br/>
              <w:t xml:space="preserve">    executable_rule_id: "rule_rates_2018_v1"</w:t>
              <w:br/>
              <w:t xml:space="preserve">  financial_mechanism:</w:t>
              <w:br/>
              <w:t xml:space="preserve">    type: "rate_schedule"</w:t>
              <w:br/>
              <w:t xml:space="preserve">    parameters: {...}</w:t>
              <w:br/>
              <w:t xml:space="preserve">  effective_period:</w:t>
              <w:br/>
              <w:t xml:space="preserve">    start: "2018-01-01"</w:t>
              <w:br/>
              <w:t xml:space="preserve">    end: "2025-12-31"</w:t>
              <w:br/>
              <w:t xml:space="preserve">  dependencies: ["indexing", "other_tcja_provisions"]</w:t>
              <w:br/>
              <w:t xml:space="preserve">  flags: ["sunset_budget_window"]</w:t>
              <w:br/>
              <w:t xml:space="preserve">  extraction_confidence: "high"</w:t>
              <w:br/>
              <w:t xml:space="preserve">  publication_state: "provisional_analysis"</w:t>
              <w:br/>
              <w:t xml:space="preserve">  decision_ids: ["dec_01J..."]</w:t>
              <w:br/>
              <w:t xml:space="preserve">  review_status: "not_required_by_current_policy"</w:t>
            </w:r>
          </w:p>
        </w:tc>
      </w:tr>
    </w:tbl>
    <w:p>
      <w:pPr>
        <w:pStyle w:val="Heading2"/>
      </w:pPr>
      <w:r>
        <w:t>Appendix C — Initial source catalog</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3293"/>
        <w:gridCol w:w="3293"/>
        <w:gridCol w:w="3293"/>
      </w:tblGrid>
      <w:tr>
        <w:trPr>
          <w:tblHeader w:val="true"/>
          <w:cantSplit/>
        </w:trPr>
        <w:tc>
          <w:tcPr>
            <w:tcW w:type="dxa" w:w="720"/>
            <w:shd w:fill="17324D"/>
            <w:tcMar>
              <w:top w:w="85" w:type="dxa"/>
              <w:start w:w="85" w:type="dxa"/>
              <w:bottom w:w="85" w:type="dxa"/>
              <w:end w:w="85" w:type="dxa"/>
            </w:tcMar>
          </w:tcPr>
          <w:p>
            <w:r>
              <w:rPr>
                <w:rFonts w:ascii="Arial" w:hAnsi="Arial"/>
                <w:b/>
                <w:color w:val="FFFFFF"/>
                <w:sz w:val="16"/>
              </w:rPr>
              <w:t>ID</w:t>
            </w:r>
          </w:p>
        </w:tc>
        <w:tc>
          <w:tcPr>
            <w:tcW w:type="dxa" w:w="3096"/>
            <w:shd w:fill="17324D"/>
            <w:tcMar>
              <w:top w:w="85" w:type="dxa"/>
              <w:start w:w="85" w:type="dxa"/>
              <w:bottom w:w="85" w:type="dxa"/>
              <w:end w:w="85" w:type="dxa"/>
            </w:tcMar>
          </w:tcPr>
          <w:p>
            <w:r>
              <w:rPr>
                <w:rFonts w:ascii="Arial" w:hAnsi="Arial"/>
                <w:b/>
                <w:color w:val="FFFFFF"/>
                <w:sz w:val="16"/>
              </w:rPr>
              <w:t>Source</w:t>
            </w:r>
          </w:p>
        </w:tc>
        <w:tc>
          <w:tcPr>
            <w:tcW w:type="dxa" w:w="5688"/>
            <w:shd w:fill="17324D"/>
            <w:tcMar>
              <w:top w:w="85" w:type="dxa"/>
              <w:start w:w="85" w:type="dxa"/>
              <w:bottom w:w="85" w:type="dxa"/>
              <w:end w:w="85" w:type="dxa"/>
            </w:tcMar>
          </w:tcPr>
          <w:p>
            <w:r>
              <w:rPr>
                <w:rFonts w:ascii="Arial" w:hAnsi="Arial"/>
                <w:b/>
                <w:color w:val="FFFFFF"/>
                <w:sz w:val="16"/>
              </w:rPr>
              <w:t>Design relevance</w:t>
            </w:r>
          </w:p>
        </w:tc>
      </w:tr>
      <w:tr>
        <w:trPr>
          <w:cantSplit/>
        </w:trPr>
        <w:tc>
          <w:tcPr>
            <w:tcW w:type="dxa" w:w="3293"/>
            <w:tcMar>
              <w:top w:w="70" w:type="dxa"/>
              <w:start w:w="80" w:type="dxa"/>
              <w:bottom w:w="70" w:type="dxa"/>
              <w:end w:w="80" w:type="dxa"/>
            </w:tcMar>
            <w:vAlign w:val="top"/>
          </w:tcPr>
          <w:p>
            <w:r>
              <w:rPr>
                <w:rFonts w:ascii="Arial" w:hAnsi="Arial"/>
                <w:b/>
                <w:color w:val="17324D"/>
                <w:sz w:val="14"/>
              </w:rPr>
              <w:t>S1</w:t>
            </w:r>
          </w:p>
        </w:tc>
        <w:tc>
          <w:tcPr>
            <w:tcW w:type="dxa" w:w="3293"/>
            <w:tcMar>
              <w:top w:w="70" w:type="dxa"/>
              <w:start w:w="80" w:type="dxa"/>
              <w:bottom w:w="70" w:type="dxa"/>
              <w:end w:w="80" w:type="dxa"/>
            </w:tcMar>
            <w:vAlign w:val="top"/>
          </w:tcPr>
          <w:p>
            <w:hyperlink r:id="rId14">
              <w:r>
                <w:rPr>
                  <w:color w:val="2B6F9F"/>
                  <w:u w:val="single"/>
                  <w:rFonts w:ascii="Arial" w:hAnsi="Arial"/>
                </w:rPr>
                <w:t>Congress.gov API</w:t>
              </w:r>
            </w:hyperlink>
          </w:p>
        </w:tc>
        <w:tc>
          <w:tcPr>
            <w:tcW w:type="dxa" w:w="3293"/>
            <w:tcMar>
              <w:top w:w="70" w:type="dxa"/>
              <w:start w:w="80" w:type="dxa"/>
              <w:bottom w:w="70" w:type="dxa"/>
              <w:end w:w="80" w:type="dxa"/>
            </w:tcMar>
            <w:vAlign w:val="top"/>
          </w:tcPr>
          <w:p>
            <w:r>
              <w:rPr>
                <w:rFonts w:ascii="Arial" w:hAnsi="Arial"/>
                <w:color w:val="24313A"/>
                <w:sz w:val="14"/>
              </w:rPr>
              <w:t>Bills, amendments, members, committees, actions, summaries, and Congressional Record endpoints.</w:t>
            </w:r>
          </w:p>
        </w:tc>
      </w:tr>
      <w:tr>
        <w:trPr>
          <w:cantSplit/>
        </w:trPr>
        <w:tc>
          <w:tcPr>
            <w:tcW w:type="dxa" w:w="3293"/>
            <w:shd w:fill="F7F9FA"/>
            <w:tcMar>
              <w:top w:w="70" w:type="dxa"/>
              <w:start w:w="80" w:type="dxa"/>
              <w:bottom w:w="70" w:type="dxa"/>
              <w:end w:w="80" w:type="dxa"/>
            </w:tcMar>
            <w:vAlign w:val="top"/>
          </w:tcPr>
          <w:p>
            <w:r>
              <w:rPr>
                <w:rFonts w:ascii="Arial" w:hAnsi="Arial"/>
                <w:b/>
                <w:color w:val="17324D"/>
                <w:sz w:val="14"/>
              </w:rPr>
              <w:t>S2</w:t>
            </w:r>
          </w:p>
        </w:tc>
        <w:tc>
          <w:tcPr>
            <w:tcW w:type="dxa" w:w="3293"/>
            <w:shd w:fill="F7F9FA"/>
            <w:tcMar>
              <w:top w:w="70" w:type="dxa"/>
              <w:start w:w="80" w:type="dxa"/>
              <w:bottom w:w="70" w:type="dxa"/>
              <w:end w:w="80" w:type="dxa"/>
            </w:tcMar>
            <w:vAlign w:val="top"/>
          </w:tcPr>
          <w:p>
            <w:hyperlink r:id="rId15">
              <w:r>
                <w:rPr>
                  <w:color w:val="2B6F9F"/>
                  <w:u w:val="single"/>
                  <w:rFonts w:ascii="Arial" w:hAnsi="Arial"/>
                </w:rPr>
                <w:t>GovInfo Developer Hub</w:t>
              </w:r>
            </w:hyperlink>
          </w:p>
        </w:tc>
        <w:tc>
          <w:tcPr>
            <w:tcW w:type="dxa" w:w="3293"/>
            <w:shd w:fill="F7F9FA"/>
            <w:tcMar>
              <w:top w:w="70" w:type="dxa"/>
              <w:start w:w="80" w:type="dxa"/>
              <w:bottom w:w="70" w:type="dxa"/>
              <w:end w:w="80" w:type="dxa"/>
            </w:tcMar>
            <w:vAlign w:val="top"/>
          </w:tcPr>
          <w:p>
            <w:r>
              <w:rPr>
                <w:rFonts w:ascii="Arial" w:hAnsi="Arial"/>
                <w:color w:val="24313A"/>
                <w:sz w:val="14"/>
              </w:rPr>
              <w:t>Bulk XML and APIs for congressional bill text, status, summaries, public laws, regulations, and other official publications.</w:t>
            </w:r>
          </w:p>
        </w:tc>
      </w:tr>
      <w:tr>
        <w:trPr>
          <w:cantSplit/>
        </w:trPr>
        <w:tc>
          <w:tcPr>
            <w:tcW w:type="dxa" w:w="3293"/>
            <w:tcMar>
              <w:top w:w="70" w:type="dxa"/>
              <w:start w:w="80" w:type="dxa"/>
              <w:bottom w:w="70" w:type="dxa"/>
              <w:end w:w="80" w:type="dxa"/>
            </w:tcMar>
            <w:vAlign w:val="top"/>
          </w:tcPr>
          <w:p>
            <w:r>
              <w:rPr>
                <w:rFonts w:ascii="Arial" w:hAnsi="Arial"/>
                <w:b/>
                <w:color w:val="17324D"/>
                <w:sz w:val="14"/>
              </w:rPr>
              <w:t>S3</w:t>
            </w:r>
          </w:p>
        </w:tc>
        <w:tc>
          <w:tcPr>
            <w:tcW w:type="dxa" w:w="3293"/>
            <w:tcMar>
              <w:top w:w="70" w:type="dxa"/>
              <w:start w:w="80" w:type="dxa"/>
              <w:bottom w:w="70" w:type="dxa"/>
              <w:end w:w="80" w:type="dxa"/>
            </w:tcMar>
            <w:vAlign w:val="top"/>
          </w:tcPr>
          <w:p>
            <w:hyperlink r:id="rId16">
              <w:r>
                <w:rPr>
                  <w:color w:val="2B6F9F"/>
                  <w:u w:val="single"/>
                  <w:rFonts w:ascii="Arial" w:hAnsi="Arial"/>
                </w:rPr>
                <w:t>GovInfo Congressional Bills</w:t>
              </w:r>
            </w:hyperlink>
          </w:p>
        </w:tc>
        <w:tc>
          <w:tcPr>
            <w:tcW w:type="dxa" w:w="3293"/>
            <w:tcMar>
              <w:top w:w="70" w:type="dxa"/>
              <w:start w:w="80" w:type="dxa"/>
              <w:bottom w:w="70" w:type="dxa"/>
              <w:end w:w="80" w:type="dxa"/>
            </w:tcMar>
            <w:vAlign w:val="top"/>
          </w:tcPr>
          <w:p>
            <w:r>
              <w:rPr>
                <w:rFonts w:ascii="Arial" w:hAnsi="Arial"/>
                <w:color w:val="24313A"/>
                <w:sz w:val="14"/>
              </w:rPr>
              <w:t>Official version coverage and bulk-download information.</w:t>
            </w:r>
          </w:p>
        </w:tc>
      </w:tr>
      <w:tr>
        <w:trPr>
          <w:cantSplit/>
        </w:trPr>
        <w:tc>
          <w:tcPr>
            <w:tcW w:type="dxa" w:w="3293"/>
            <w:shd w:fill="F7F9FA"/>
            <w:tcMar>
              <w:top w:w="70" w:type="dxa"/>
              <w:start w:w="80" w:type="dxa"/>
              <w:bottom w:w="70" w:type="dxa"/>
              <w:end w:w="80" w:type="dxa"/>
            </w:tcMar>
            <w:vAlign w:val="top"/>
          </w:tcPr>
          <w:p>
            <w:r>
              <w:rPr>
                <w:rFonts w:ascii="Arial" w:hAnsi="Arial"/>
                <w:b/>
                <w:color w:val="17324D"/>
                <w:sz w:val="14"/>
              </w:rPr>
              <w:t>S4</w:t>
            </w:r>
          </w:p>
        </w:tc>
        <w:tc>
          <w:tcPr>
            <w:tcW w:type="dxa" w:w="3293"/>
            <w:shd w:fill="F7F9FA"/>
            <w:tcMar>
              <w:top w:w="70" w:type="dxa"/>
              <w:start w:w="80" w:type="dxa"/>
              <w:bottom w:w="70" w:type="dxa"/>
              <w:end w:w="80" w:type="dxa"/>
            </w:tcMar>
            <w:vAlign w:val="top"/>
          </w:tcPr>
          <w:p>
            <w:hyperlink r:id="rId17">
              <w:r>
                <w:rPr>
                  <w:color w:val="2B6F9F"/>
                  <w:u w:val="single"/>
                  <w:rFonts w:ascii="Arial" w:hAnsi="Arial"/>
                </w:rPr>
                <w:t>Congressional Budget Office — Cost Estimates</w:t>
              </w:r>
            </w:hyperlink>
          </w:p>
        </w:tc>
        <w:tc>
          <w:tcPr>
            <w:tcW w:type="dxa" w:w="3293"/>
            <w:shd w:fill="F7F9FA"/>
            <w:tcMar>
              <w:top w:w="70" w:type="dxa"/>
              <w:start w:w="80" w:type="dxa"/>
              <w:bottom w:w="70" w:type="dxa"/>
              <w:end w:w="80" w:type="dxa"/>
            </w:tcMar>
            <w:vAlign w:val="top"/>
          </w:tcPr>
          <w:p>
            <w:r>
              <w:rPr>
                <w:rFonts w:ascii="Arial" w:hAnsi="Arial"/>
                <w:color w:val="24313A"/>
                <w:sz w:val="14"/>
              </w:rPr>
              <w:t>Official cost-estimate coverage and publications.</w:t>
            </w:r>
          </w:p>
        </w:tc>
      </w:tr>
      <w:tr>
        <w:trPr>
          <w:cantSplit/>
        </w:trPr>
        <w:tc>
          <w:tcPr>
            <w:tcW w:type="dxa" w:w="3293"/>
            <w:tcMar>
              <w:top w:w="70" w:type="dxa"/>
              <w:start w:w="80" w:type="dxa"/>
              <w:bottom w:w="70" w:type="dxa"/>
              <w:end w:w="80" w:type="dxa"/>
            </w:tcMar>
            <w:vAlign w:val="top"/>
          </w:tcPr>
          <w:p>
            <w:r>
              <w:rPr>
                <w:rFonts w:ascii="Arial" w:hAnsi="Arial"/>
                <w:b/>
                <w:color w:val="17324D"/>
                <w:sz w:val="14"/>
              </w:rPr>
              <w:t>S5</w:t>
            </w:r>
          </w:p>
        </w:tc>
        <w:tc>
          <w:tcPr>
            <w:tcW w:type="dxa" w:w="3293"/>
            <w:tcMar>
              <w:top w:w="70" w:type="dxa"/>
              <w:start w:w="80" w:type="dxa"/>
              <w:bottom w:w="70" w:type="dxa"/>
              <w:end w:w="80" w:type="dxa"/>
            </w:tcMar>
            <w:vAlign w:val="top"/>
          </w:tcPr>
          <w:p>
            <w:hyperlink r:id="rId18">
              <w:r>
                <w:rPr>
                  <w:color w:val="2B6F9F"/>
                  <w:u w:val="single"/>
                  <w:rFonts w:ascii="Arial" w:hAnsi="Arial"/>
                </w:rPr>
                <w:t>CBO Cost-Estimating Process</w:t>
              </w:r>
            </w:hyperlink>
          </w:p>
        </w:tc>
        <w:tc>
          <w:tcPr>
            <w:tcW w:type="dxa" w:w="3293"/>
            <w:tcMar>
              <w:top w:w="70" w:type="dxa"/>
              <w:start w:w="80" w:type="dxa"/>
              <w:bottom w:w="70" w:type="dxa"/>
              <w:end w:w="80" w:type="dxa"/>
            </w:tcMar>
            <w:vAlign w:val="top"/>
          </w:tcPr>
          <w:p>
            <w:r>
              <w:rPr>
                <w:rFonts w:ascii="Arial" w:hAnsi="Arial"/>
                <w:color w:val="24313A"/>
                <w:sz w:val="14"/>
              </w:rPr>
              <w:t>How CBO estimates legislative effects relative to current law.</w:t>
            </w:r>
          </w:p>
        </w:tc>
      </w:tr>
      <w:tr>
        <w:trPr>
          <w:cantSplit/>
        </w:trPr>
        <w:tc>
          <w:tcPr>
            <w:tcW w:type="dxa" w:w="3293"/>
            <w:shd w:fill="F7F9FA"/>
            <w:tcMar>
              <w:top w:w="70" w:type="dxa"/>
              <w:start w:w="80" w:type="dxa"/>
              <w:bottom w:w="70" w:type="dxa"/>
              <w:end w:w="80" w:type="dxa"/>
            </w:tcMar>
            <w:vAlign w:val="top"/>
          </w:tcPr>
          <w:p>
            <w:r>
              <w:rPr>
                <w:rFonts w:ascii="Arial" w:hAnsi="Arial"/>
                <w:b/>
                <w:color w:val="17324D"/>
                <w:sz w:val="14"/>
              </w:rPr>
              <w:t>S6</w:t>
            </w:r>
          </w:p>
        </w:tc>
        <w:tc>
          <w:tcPr>
            <w:tcW w:type="dxa" w:w="3293"/>
            <w:shd w:fill="F7F9FA"/>
            <w:tcMar>
              <w:top w:w="70" w:type="dxa"/>
              <w:start w:w="80" w:type="dxa"/>
              <w:bottom w:w="70" w:type="dxa"/>
              <w:end w:w="80" w:type="dxa"/>
            </w:tcMar>
            <w:vAlign w:val="top"/>
          </w:tcPr>
          <w:p>
            <w:hyperlink r:id="rId19">
              <w:r>
                <w:rPr>
                  <w:color w:val="2B6F9F"/>
                  <w:u w:val="single"/>
                  <w:rFonts w:ascii="Arial" w:hAnsi="Arial"/>
                </w:rPr>
                <w:t>CBO Sources of Uncertainty</w:t>
              </w:r>
            </w:hyperlink>
          </w:p>
        </w:tc>
        <w:tc>
          <w:tcPr>
            <w:tcW w:type="dxa" w:w="3293"/>
            <w:shd w:fill="F7F9FA"/>
            <w:tcMar>
              <w:top w:w="70" w:type="dxa"/>
              <w:start w:w="80" w:type="dxa"/>
              <w:bottom w:w="70" w:type="dxa"/>
              <w:end w:w="80" w:type="dxa"/>
            </w:tcMar>
            <w:vAlign w:val="top"/>
          </w:tcPr>
          <w:p>
            <w:r>
              <w:rPr>
                <w:rFonts w:ascii="Arial" w:hAnsi="Arial"/>
                <w:color w:val="24313A"/>
                <w:sz w:val="14"/>
              </w:rPr>
              <w:t>Guidance on uncertainty in budget estimates.</w:t>
            </w:r>
          </w:p>
        </w:tc>
      </w:tr>
      <w:tr>
        <w:trPr>
          <w:cantSplit/>
        </w:trPr>
        <w:tc>
          <w:tcPr>
            <w:tcW w:type="dxa" w:w="3293"/>
            <w:tcMar>
              <w:top w:w="70" w:type="dxa"/>
              <w:start w:w="80" w:type="dxa"/>
              <w:bottom w:w="70" w:type="dxa"/>
              <w:end w:w="80" w:type="dxa"/>
            </w:tcMar>
            <w:vAlign w:val="top"/>
          </w:tcPr>
          <w:p>
            <w:r>
              <w:rPr>
                <w:rFonts w:ascii="Arial" w:hAnsi="Arial"/>
                <w:b/>
                <w:color w:val="17324D"/>
                <w:sz w:val="14"/>
              </w:rPr>
              <w:t>S7</w:t>
            </w:r>
          </w:p>
        </w:tc>
        <w:tc>
          <w:tcPr>
            <w:tcW w:type="dxa" w:w="3293"/>
            <w:tcMar>
              <w:top w:w="70" w:type="dxa"/>
              <w:start w:w="80" w:type="dxa"/>
              <w:bottom w:w="70" w:type="dxa"/>
              <w:end w:w="80" w:type="dxa"/>
            </w:tcMar>
            <w:vAlign w:val="top"/>
          </w:tcPr>
          <w:p>
            <w:hyperlink r:id="rId20">
              <w:r>
                <w:rPr>
                  <w:color w:val="2B6F9F"/>
                  <w:u w:val="single"/>
                  <w:rFonts w:ascii="Arial" w:hAnsi="Arial"/>
                </w:rPr>
                <w:t>Joint Committee on Taxation — Revenue Estimating</w:t>
              </w:r>
            </w:hyperlink>
          </w:p>
        </w:tc>
        <w:tc>
          <w:tcPr>
            <w:tcW w:type="dxa" w:w="3293"/>
            <w:tcMar>
              <w:top w:w="70" w:type="dxa"/>
              <w:start w:w="80" w:type="dxa"/>
              <w:bottom w:w="70" w:type="dxa"/>
              <w:end w:w="80" w:type="dxa"/>
            </w:tcMar>
            <w:vAlign w:val="top"/>
          </w:tcPr>
          <w:p>
            <w:r>
              <w:rPr>
                <w:rFonts w:ascii="Arial" w:hAnsi="Arial"/>
                <w:color w:val="24313A"/>
                <w:sz w:val="14"/>
              </w:rPr>
              <w:t>JCT revenue and distributional analysis role and methods context.</w:t>
            </w:r>
          </w:p>
        </w:tc>
      </w:tr>
      <w:tr>
        <w:trPr>
          <w:cantSplit/>
        </w:trPr>
        <w:tc>
          <w:tcPr>
            <w:tcW w:type="dxa" w:w="3293"/>
            <w:shd w:fill="F7F9FA"/>
            <w:tcMar>
              <w:top w:w="70" w:type="dxa"/>
              <w:start w:w="80" w:type="dxa"/>
              <w:bottom w:w="70" w:type="dxa"/>
              <w:end w:w="80" w:type="dxa"/>
            </w:tcMar>
            <w:vAlign w:val="top"/>
          </w:tcPr>
          <w:p>
            <w:r>
              <w:rPr>
                <w:rFonts w:ascii="Arial" w:hAnsi="Arial"/>
                <w:b/>
                <w:color w:val="17324D"/>
                <w:sz w:val="14"/>
              </w:rPr>
              <w:t>S8</w:t>
            </w:r>
          </w:p>
        </w:tc>
        <w:tc>
          <w:tcPr>
            <w:tcW w:type="dxa" w:w="3293"/>
            <w:shd w:fill="F7F9FA"/>
            <w:tcMar>
              <w:top w:w="70" w:type="dxa"/>
              <w:start w:w="80" w:type="dxa"/>
              <w:bottom w:w="70" w:type="dxa"/>
              <w:end w:w="80" w:type="dxa"/>
            </w:tcMar>
            <w:vAlign w:val="top"/>
          </w:tcPr>
          <w:p>
            <w:hyperlink r:id="rId21">
              <w:r>
                <w:rPr>
                  <w:color w:val="2B6F9F"/>
                  <w:u w:val="single"/>
                  <w:rFonts w:ascii="Arial" w:hAnsi="Arial"/>
                </w:rPr>
                <w:t>IRS SOI Individual Public-Use Microdata</w:t>
              </w:r>
            </w:hyperlink>
          </w:p>
        </w:tc>
        <w:tc>
          <w:tcPr>
            <w:tcW w:type="dxa" w:w="3293"/>
            <w:shd w:fill="F7F9FA"/>
            <w:tcMar>
              <w:top w:w="70" w:type="dxa"/>
              <w:start w:w="80" w:type="dxa"/>
              <w:bottom w:w="70" w:type="dxa"/>
              <w:end w:w="80" w:type="dxa"/>
            </w:tcMar>
            <w:vAlign w:val="top"/>
          </w:tcPr>
          <w:p>
            <w:r>
              <w:rPr>
                <w:rFonts w:ascii="Arial" w:hAnsi="Arial"/>
                <w:color w:val="24313A"/>
                <w:sz w:val="14"/>
              </w:rPr>
              <w:t>Public-use tax microdata for independent tax analysis.</w:t>
            </w:r>
          </w:p>
        </w:tc>
      </w:tr>
      <w:tr>
        <w:trPr>
          <w:cantSplit/>
        </w:trPr>
        <w:tc>
          <w:tcPr>
            <w:tcW w:type="dxa" w:w="3293"/>
            <w:tcMar>
              <w:top w:w="70" w:type="dxa"/>
              <w:start w:w="80" w:type="dxa"/>
              <w:bottom w:w="70" w:type="dxa"/>
              <w:end w:w="80" w:type="dxa"/>
            </w:tcMar>
            <w:vAlign w:val="top"/>
          </w:tcPr>
          <w:p>
            <w:r>
              <w:rPr>
                <w:rFonts w:ascii="Arial" w:hAnsi="Arial"/>
                <w:b/>
                <w:color w:val="17324D"/>
                <w:sz w:val="14"/>
              </w:rPr>
              <w:t>S9</w:t>
            </w:r>
          </w:p>
        </w:tc>
        <w:tc>
          <w:tcPr>
            <w:tcW w:type="dxa" w:w="3293"/>
            <w:tcMar>
              <w:top w:w="70" w:type="dxa"/>
              <w:start w:w="80" w:type="dxa"/>
              <w:bottom w:w="70" w:type="dxa"/>
              <w:end w:w="80" w:type="dxa"/>
            </w:tcMar>
            <w:vAlign w:val="top"/>
          </w:tcPr>
          <w:p>
            <w:hyperlink r:id="rId22">
              <w:r>
                <w:rPr>
                  <w:color w:val="2B6F9F"/>
                  <w:u w:val="single"/>
                  <w:rFonts w:ascii="Arial" w:hAnsi="Arial"/>
                </w:rPr>
                <w:t>Census CPS ASEC / Poverty Developer Resources</w:t>
              </w:r>
            </w:hyperlink>
          </w:p>
        </w:tc>
        <w:tc>
          <w:tcPr>
            <w:tcW w:type="dxa" w:w="3293"/>
            <w:tcMar>
              <w:top w:w="70" w:type="dxa"/>
              <w:start w:w="80" w:type="dxa"/>
              <w:bottom w:w="70" w:type="dxa"/>
              <w:end w:w="80" w:type="dxa"/>
            </w:tcMar>
            <w:vAlign w:val="top"/>
          </w:tcPr>
          <w:p>
            <w:r>
              <w:rPr>
                <w:rFonts w:ascii="Arial" w:hAnsi="Arial"/>
                <w:color w:val="24313A"/>
                <w:sz w:val="14"/>
              </w:rPr>
              <w:t>Household income and poverty data; CPS ASEC is the official source of national poverty estimates.</w:t>
            </w:r>
          </w:p>
        </w:tc>
      </w:tr>
      <w:tr>
        <w:trPr>
          <w:cantSplit/>
        </w:trPr>
        <w:tc>
          <w:tcPr>
            <w:tcW w:type="dxa" w:w="3293"/>
            <w:shd w:fill="F7F9FA"/>
            <w:tcMar>
              <w:top w:w="70" w:type="dxa"/>
              <w:start w:w="80" w:type="dxa"/>
              <w:bottom w:w="70" w:type="dxa"/>
              <w:end w:w="80" w:type="dxa"/>
            </w:tcMar>
            <w:vAlign w:val="top"/>
          </w:tcPr>
          <w:p>
            <w:r>
              <w:rPr>
                <w:rFonts w:ascii="Arial" w:hAnsi="Arial"/>
                <w:b/>
                <w:color w:val="17324D"/>
                <w:sz w:val="14"/>
              </w:rPr>
              <w:t>S10</w:t>
            </w:r>
          </w:p>
        </w:tc>
        <w:tc>
          <w:tcPr>
            <w:tcW w:type="dxa" w:w="3293"/>
            <w:shd w:fill="F7F9FA"/>
            <w:tcMar>
              <w:top w:w="70" w:type="dxa"/>
              <w:start w:w="80" w:type="dxa"/>
              <w:bottom w:w="70" w:type="dxa"/>
              <w:end w:w="80" w:type="dxa"/>
            </w:tcMar>
            <w:vAlign w:val="top"/>
          </w:tcPr>
          <w:p>
            <w:hyperlink r:id="rId23">
              <w:r>
                <w:rPr>
                  <w:color w:val="2B6F9F"/>
                  <w:u w:val="single"/>
                  <w:rFonts w:ascii="Arial" w:hAnsi="Arial"/>
                </w:rPr>
                <w:t>Federal Register API</w:t>
              </w:r>
            </w:hyperlink>
          </w:p>
        </w:tc>
        <w:tc>
          <w:tcPr>
            <w:tcW w:type="dxa" w:w="3293"/>
            <w:shd w:fill="F7F9FA"/>
            <w:tcMar>
              <w:top w:w="70" w:type="dxa"/>
              <w:start w:w="80" w:type="dxa"/>
              <w:bottom w:w="70" w:type="dxa"/>
              <w:end w:w="80" w:type="dxa"/>
            </w:tcMar>
            <w:vAlign w:val="top"/>
          </w:tcPr>
          <w:p>
            <w:r>
              <w:rPr>
                <w:rFonts w:ascii="Arial" w:hAnsi="Arial"/>
                <w:color w:val="24313A"/>
                <w:sz w:val="14"/>
              </w:rPr>
              <w:t>Public API for federal regulatory documents.</w:t>
            </w:r>
          </w:p>
        </w:tc>
      </w:tr>
      <w:tr>
        <w:trPr>
          <w:cantSplit/>
        </w:trPr>
        <w:tc>
          <w:tcPr>
            <w:tcW w:type="dxa" w:w="3293"/>
            <w:tcMar>
              <w:top w:w="70" w:type="dxa"/>
              <w:start w:w="80" w:type="dxa"/>
              <w:bottom w:w="70" w:type="dxa"/>
              <w:end w:w="80" w:type="dxa"/>
            </w:tcMar>
            <w:vAlign w:val="top"/>
          </w:tcPr>
          <w:p>
            <w:r>
              <w:rPr>
                <w:rFonts w:ascii="Arial" w:hAnsi="Arial"/>
                <w:b/>
                <w:color w:val="17324D"/>
                <w:sz w:val="14"/>
              </w:rPr>
              <w:t>S11</w:t>
            </w:r>
          </w:p>
        </w:tc>
        <w:tc>
          <w:tcPr>
            <w:tcW w:type="dxa" w:w="3293"/>
            <w:tcMar>
              <w:top w:w="70" w:type="dxa"/>
              <w:start w:w="80" w:type="dxa"/>
              <w:bottom w:w="70" w:type="dxa"/>
              <w:end w:w="80" w:type="dxa"/>
            </w:tcMar>
            <w:vAlign w:val="top"/>
          </w:tcPr>
          <w:p>
            <w:hyperlink r:id="rId24">
              <w:r>
                <w:rPr>
                  <w:color w:val="2B6F9F"/>
                  <w:u w:val="single"/>
                  <w:rFonts w:ascii="Arial" w:hAnsi="Arial"/>
                </w:rPr>
                <w:t>USAspending API</w:t>
              </w:r>
            </w:hyperlink>
          </w:p>
        </w:tc>
        <w:tc>
          <w:tcPr>
            <w:tcW w:type="dxa" w:w="3293"/>
            <w:tcMar>
              <w:top w:w="70" w:type="dxa"/>
              <w:start w:w="80" w:type="dxa"/>
              <w:bottom w:w="70" w:type="dxa"/>
              <w:end w:w="80" w:type="dxa"/>
            </w:tcMar>
            <w:vAlign w:val="top"/>
          </w:tcPr>
          <w:p>
            <w:r>
              <w:rPr>
                <w:rFonts w:ascii="Arial" w:hAnsi="Arial"/>
                <w:color w:val="24313A"/>
                <w:sz w:val="14"/>
              </w:rPr>
              <w:t>Official federal awards, recipient, and account-level spending data.</w:t>
            </w:r>
          </w:p>
        </w:tc>
      </w:tr>
      <w:tr>
        <w:trPr>
          <w:cantSplit/>
        </w:trPr>
        <w:tc>
          <w:tcPr>
            <w:tcW w:type="dxa" w:w="3293"/>
            <w:shd w:fill="F7F9FA"/>
            <w:tcMar>
              <w:top w:w="70" w:type="dxa"/>
              <w:start w:w="80" w:type="dxa"/>
              <w:bottom w:w="70" w:type="dxa"/>
              <w:end w:w="80" w:type="dxa"/>
            </w:tcMar>
            <w:vAlign w:val="top"/>
          </w:tcPr>
          <w:p>
            <w:r>
              <w:rPr>
                <w:rFonts w:ascii="Arial" w:hAnsi="Arial"/>
                <w:b/>
                <w:color w:val="17324D"/>
                <w:sz w:val="14"/>
              </w:rPr>
              <w:t>S12</w:t>
            </w:r>
          </w:p>
        </w:tc>
        <w:tc>
          <w:tcPr>
            <w:tcW w:type="dxa" w:w="3293"/>
            <w:shd w:fill="F7F9FA"/>
            <w:tcMar>
              <w:top w:w="70" w:type="dxa"/>
              <w:start w:w="80" w:type="dxa"/>
              <w:bottom w:w="70" w:type="dxa"/>
              <w:end w:w="80" w:type="dxa"/>
            </w:tcMar>
            <w:vAlign w:val="top"/>
          </w:tcPr>
          <w:p>
            <w:hyperlink r:id="rId25">
              <w:r>
                <w:rPr>
                  <w:color w:val="2B6F9F"/>
                  <w:u w:val="single"/>
                  <w:rFonts w:ascii="Arial" w:hAnsi="Arial"/>
                </w:rPr>
                <w:t>Lobbying Disclosure API</w:t>
              </w:r>
            </w:hyperlink>
          </w:p>
        </w:tc>
        <w:tc>
          <w:tcPr>
            <w:tcW w:type="dxa" w:w="3293"/>
            <w:shd w:fill="F7F9FA"/>
            <w:tcMar>
              <w:top w:w="70" w:type="dxa"/>
              <w:start w:w="80" w:type="dxa"/>
              <w:bottom w:w="70" w:type="dxa"/>
              <w:end w:w="80" w:type="dxa"/>
            </w:tcMar>
            <w:vAlign w:val="top"/>
          </w:tcPr>
          <w:p>
            <w:r>
              <w:rPr>
                <w:rFonts w:ascii="Arial" w:hAnsi="Arial"/>
                <w:color w:val="24313A"/>
                <w:sz w:val="14"/>
              </w:rPr>
              <w:t>Official public Lobbying Disclosure Act filings API.</w:t>
            </w:r>
          </w:p>
        </w:tc>
      </w:tr>
      <w:tr>
        <w:trPr>
          <w:cantSplit/>
        </w:trPr>
        <w:tc>
          <w:tcPr>
            <w:tcW w:type="dxa" w:w="3293"/>
            <w:tcMar>
              <w:top w:w="70" w:type="dxa"/>
              <w:start w:w="80" w:type="dxa"/>
              <w:bottom w:w="70" w:type="dxa"/>
              <w:end w:w="80" w:type="dxa"/>
            </w:tcMar>
            <w:vAlign w:val="top"/>
          </w:tcPr>
          <w:p>
            <w:r>
              <w:rPr>
                <w:rFonts w:ascii="Arial" w:hAnsi="Arial"/>
                <w:b/>
                <w:color w:val="17324D"/>
                <w:sz w:val="14"/>
              </w:rPr>
              <w:t>S13</w:t>
            </w:r>
          </w:p>
        </w:tc>
        <w:tc>
          <w:tcPr>
            <w:tcW w:type="dxa" w:w="3293"/>
            <w:tcMar>
              <w:top w:w="70" w:type="dxa"/>
              <w:start w:w="80" w:type="dxa"/>
              <w:bottom w:w="70" w:type="dxa"/>
              <w:end w:w="80" w:type="dxa"/>
            </w:tcMar>
            <w:vAlign w:val="top"/>
          </w:tcPr>
          <w:p>
            <w:hyperlink r:id="rId26">
              <w:r>
                <w:rPr>
                  <w:color w:val="2B6F9F"/>
                  <w:u w:val="single"/>
                  <w:rFonts w:ascii="Arial" w:hAnsi="Arial"/>
                </w:rPr>
                <w:t>OpenFEC API</w:t>
              </w:r>
            </w:hyperlink>
          </w:p>
        </w:tc>
        <w:tc>
          <w:tcPr>
            <w:tcW w:type="dxa" w:w="3293"/>
            <w:tcMar>
              <w:top w:w="70" w:type="dxa"/>
              <w:start w:w="80" w:type="dxa"/>
              <w:bottom w:w="70" w:type="dxa"/>
              <w:end w:w="80" w:type="dxa"/>
            </w:tcMar>
            <w:vAlign w:val="top"/>
          </w:tcPr>
          <w:p>
            <w:r>
              <w:rPr>
                <w:rFonts w:ascii="Arial" w:hAnsi="Arial"/>
                <w:color w:val="24313A"/>
                <w:sz w:val="14"/>
              </w:rPr>
              <w:t>Official federal campaign-finance API.</w:t>
            </w:r>
          </w:p>
        </w:tc>
      </w:tr>
      <w:tr>
        <w:trPr>
          <w:cantSplit/>
        </w:trPr>
        <w:tc>
          <w:tcPr>
            <w:tcW w:type="dxa" w:w="3293"/>
            <w:shd w:fill="F7F9FA"/>
            <w:tcMar>
              <w:top w:w="70" w:type="dxa"/>
              <w:start w:w="80" w:type="dxa"/>
              <w:bottom w:w="70" w:type="dxa"/>
              <w:end w:w="80" w:type="dxa"/>
            </w:tcMar>
            <w:vAlign w:val="top"/>
          </w:tcPr>
          <w:p>
            <w:r>
              <w:rPr>
                <w:rFonts w:ascii="Arial" w:hAnsi="Arial"/>
                <w:b/>
                <w:color w:val="17324D"/>
                <w:sz w:val="14"/>
              </w:rPr>
              <w:t>S14</w:t>
            </w:r>
          </w:p>
        </w:tc>
        <w:tc>
          <w:tcPr>
            <w:tcW w:type="dxa" w:w="3293"/>
            <w:shd w:fill="F7F9FA"/>
            <w:tcMar>
              <w:top w:w="70" w:type="dxa"/>
              <w:start w:w="80" w:type="dxa"/>
              <w:bottom w:w="70" w:type="dxa"/>
              <w:end w:w="80" w:type="dxa"/>
            </w:tcMar>
            <w:vAlign w:val="top"/>
          </w:tcPr>
          <w:p>
            <w:hyperlink r:id="rId27">
              <w:r>
                <w:rPr>
                  <w:color w:val="2B6F9F"/>
                  <w:u w:val="single"/>
                  <w:rFonts w:ascii="Arial" w:hAnsi="Arial"/>
                </w:rPr>
                <w:t>Regulations.gov API</w:t>
              </w:r>
            </w:hyperlink>
          </w:p>
        </w:tc>
        <w:tc>
          <w:tcPr>
            <w:tcW w:type="dxa" w:w="3293"/>
            <w:shd w:fill="F7F9FA"/>
            <w:tcMar>
              <w:top w:w="70" w:type="dxa"/>
              <w:start w:w="80" w:type="dxa"/>
              <w:bottom w:w="70" w:type="dxa"/>
              <w:end w:w="80" w:type="dxa"/>
            </w:tcMar>
            <w:vAlign w:val="top"/>
          </w:tcPr>
          <w:p>
            <w:r>
              <w:rPr>
                <w:rFonts w:ascii="Arial" w:hAnsi="Arial"/>
                <w:color w:val="24313A"/>
                <w:sz w:val="14"/>
              </w:rPr>
              <w:t>Federal dockets, documents, comments, and comment submission API.</w:t>
            </w:r>
          </w:p>
        </w:tc>
      </w:tr>
      <w:tr>
        <w:trPr>
          <w:cantSplit/>
        </w:trPr>
        <w:tc>
          <w:tcPr>
            <w:tcW w:type="dxa" w:w="3293"/>
            <w:tcMar>
              <w:top w:w="70" w:type="dxa"/>
              <w:start w:w="80" w:type="dxa"/>
              <w:bottom w:w="70" w:type="dxa"/>
              <w:end w:w="80" w:type="dxa"/>
            </w:tcMar>
            <w:vAlign w:val="top"/>
          </w:tcPr>
          <w:p>
            <w:r>
              <w:rPr>
                <w:rFonts w:ascii="Arial" w:hAnsi="Arial"/>
                <w:b/>
                <w:color w:val="17324D"/>
                <w:sz w:val="14"/>
              </w:rPr>
              <w:t>S15</w:t>
            </w:r>
          </w:p>
        </w:tc>
        <w:tc>
          <w:tcPr>
            <w:tcW w:type="dxa" w:w="3293"/>
            <w:tcMar>
              <w:top w:w="70" w:type="dxa"/>
              <w:start w:w="80" w:type="dxa"/>
              <w:bottom w:w="70" w:type="dxa"/>
              <w:end w:w="80" w:type="dxa"/>
            </w:tcMar>
            <w:vAlign w:val="top"/>
          </w:tcPr>
          <w:p>
            <w:hyperlink r:id="rId28">
              <w:r>
                <w:rPr>
                  <w:color w:val="2B6F9F"/>
                  <w:u w:val="single"/>
                  <w:rFonts w:ascii="Arial" w:hAnsi="Arial"/>
                </w:rPr>
                <w:t>NIST AI Risk Management Framework</w:t>
              </w:r>
            </w:hyperlink>
          </w:p>
        </w:tc>
        <w:tc>
          <w:tcPr>
            <w:tcW w:type="dxa" w:w="3293"/>
            <w:tcMar>
              <w:top w:w="70" w:type="dxa"/>
              <w:start w:w="80" w:type="dxa"/>
              <w:bottom w:w="70" w:type="dxa"/>
              <w:end w:w="80" w:type="dxa"/>
            </w:tcMar>
            <w:vAlign w:val="top"/>
          </w:tcPr>
          <w:p>
            <w:r>
              <w:rPr>
                <w:rFonts w:ascii="Arial" w:hAnsi="Arial"/>
                <w:color w:val="24313A"/>
                <w:sz w:val="14"/>
              </w:rPr>
              <w:t>Voluntary framework for managing trustworthiness and risk in AI systems.</w:t>
            </w:r>
          </w:p>
        </w:tc>
      </w:tr>
      <w:tr>
        <w:trPr>
          <w:cantSplit/>
        </w:trPr>
        <w:tc>
          <w:tcPr>
            <w:tcW w:type="dxa" w:w="3293"/>
            <w:shd w:fill="F7F9FA"/>
            <w:tcMar>
              <w:top w:w="70" w:type="dxa"/>
              <w:start w:w="80" w:type="dxa"/>
              <w:bottom w:w="70" w:type="dxa"/>
              <w:end w:w="80" w:type="dxa"/>
            </w:tcMar>
            <w:vAlign w:val="top"/>
          </w:tcPr>
          <w:p>
            <w:r>
              <w:rPr>
                <w:rFonts w:ascii="Arial" w:hAnsi="Arial"/>
                <w:b/>
                <w:color w:val="17324D"/>
                <w:sz w:val="14"/>
              </w:rPr>
              <w:t>S16</w:t>
            </w:r>
          </w:p>
        </w:tc>
        <w:tc>
          <w:tcPr>
            <w:tcW w:type="dxa" w:w="3293"/>
            <w:shd w:fill="F7F9FA"/>
            <w:tcMar>
              <w:top w:w="70" w:type="dxa"/>
              <w:start w:w="80" w:type="dxa"/>
              <w:bottom w:w="70" w:type="dxa"/>
              <w:end w:w="80" w:type="dxa"/>
            </w:tcMar>
            <w:vAlign w:val="top"/>
          </w:tcPr>
          <w:p>
            <w:hyperlink r:id="rId29">
              <w:r>
                <w:rPr>
                  <w:color w:val="2B6F9F"/>
                  <w:u w:val="single"/>
                  <w:rFonts w:ascii="Arial" w:hAnsi="Arial"/>
                </w:rPr>
                <w:t>GAO Assessing Data Reliability</w:t>
              </w:r>
            </w:hyperlink>
          </w:p>
        </w:tc>
        <w:tc>
          <w:tcPr>
            <w:tcW w:type="dxa" w:w="3293"/>
            <w:shd w:fill="F7F9FA"/>
            <w:tcMar>
              <w:top w:w="70" w:type="dxa"/>
              <w:start w:w="80" w:type="dxa"/>
              <w:bottom w:w="70" w:type="dxa"/>
              <w:end w:w="80" w:type="dxa"/>
            </w:tcMar>
            <w:vAlign w:val="top"/>
          </w:tcPr>
          <w:p>
            <w:r>
              <w:rPr>
                <w:rFonts w:ascii="Arial" w:hAnsi="Arial"/>
                <w:color w:val="24313A"/>
                <w:sz w:val="14"/>
              </w:rPr>
              <w:t>Risk-based framework for assessing data reliability.</w:t>
            </w:r>
          </w:p>
        </w:tc>
      </w:tr>
      <w:tr>
        <w:trPr>
          <w:cantSplit/>
        </w:trPr>
        <w:tc>
          <w:tcPr>
            <w:tcW w:type="dxa" w:w="3293"/>
            <w:tcMar>
              <w:top w:w="70" w:type="dxa"/>
              <w:start w:w="80" w:type="dxa"/>
              <w:bottom w:w="70" w:type="dxa"/>
              <w:end w:w="80" w:type="dxa"/>
            </w:tcMar>
            <w:vAlign w:val="top"/>
          </w:tcPr>
          <w:p>
            <w:r>
              <w:rPr>
                <w:rFonts w:ascii="Arial" w:hAnsi="Arial"/>
                <w:b/>
                <w:color w:val="17324D"/>
                <w:sz w:val="14"/>
              </w:rPr>
              <w:t>S17</w:t>
            </w:r>
          </w:p>
        </w:tc>
        <w:tc>
          <w:tcPr>
            <w:tcW w:type="dxa" w:w="3293"/>
            <w:tcMar>
              <w:top w:w="70" w:type="dxa"/>
              <w:start w:w="80" w:type="dxa"/>
              <w:bottom w:w="70" w:type="dxa"/>
              <w:end w:w="80" w:type="dxa"/>
            </w:tcMar>
            <w:vAlign w:val="top"/>
          </w:tcPr>
          <w:p>
            <w:hyperlink r:id="rId30">
              <w:r>
                <w:rPr>
                  <w:color w:val="2B6F9F"/>
                  <w:u w:val="single"/>
                  <w:rFonts w:ascii="Arial" w:hAnsi="Arial"/>
                </w:rPr>
                <w:t>GAO Green Book</w:t>
              </w:r>
            </w:hyperlink>
          </w:p>
        </w:tc>
        <w:tc>
          <w:tcPr>
            <w:tcW w:type="dxa" w:w="3293"/>
            <w:tcMar>
              <w:top w:w="70" w:type="dxa"/>
              <w:start w:w="80" w:type="dxa"/>
              <w:bottom w:w="70" w:type="dxa"/>
              <w:end w:w="80" w:type="dxa"/>
            </w:tcMar>
            <w:vAlign w:val="top"/>
          </w:tcPr>
          <w:p>
            <w:r>
              <w:rPr>
                <w:rFonts w:ascii="Arial" w:hAnsi="Arial"/>
                <w:color w:val="24313A"/>
                <w:sz w:val="14"/>
              </w:rPr>
              <w:t>Standards for internal control, accountability, reliable reporting, and risk management.</w:t>
            </w:r>
          </w:p>
        </w:tc>
      </w:tr>
      <w:tr>
        <w:trPr>
          <w:cantSplit/>
        </w:trPr>
        <w:tc>
          <w:tcPr>
            <w:tcW w:type="dxa" w:w="3293"/>
            <w:shd w:fill="F7F9FA"/>
            <w:tcMar>
              <w:top w:w="70" w:type="dxa"/>
              <w:start w:w="80" w:type="dxa"/>
              <w:bottom w:w="70" w:type="dxa"/>
              <w:end w:w="80" w:type="dxa"/>
            </w:tcMar>
            <w:vAlign w:val="top"/>
          </w:tcPr>
          <w:p>
            <w:r>
              <w:rPr>
                <w:rFonts w:ascii="Arial" w:hAnsi="Arial"/>
                <w:b/>
                <w:color w:val="17324D"/>
                <w:sz w:val="14"/>
              </w:rPr>
              <w:t>S18</w:t>
            </w:r>
          </w:p>
        </w:tc>
        <w:tc>
          <w:tcPr>
            <w:tcW w:type="dxa" w:w="3293"/>
            <w:shd w:fill="F7F9FA"/>
            <w:tcMar>
              <w:top w:w="70" w:type="dxa"/>
              <w:start w:w="80" w:type="dxa"/>
              <w:bottom w:w="70" w:type="dxa"/>
              <w:end w:w="80" w:type="dxa"/>
            </w:tcMar>
            <w:vAlign w:val="top"/>
          </w:tcPr>
          <w:p>
            <w:hyperlink r:id="rId31">
              <w:r>
                <w:rPr>
                  <w:color w:val="2B6F9F"/>
                  <w:u w:val="single"/>
                  <w:rFonts w:ascii="Arial" w:hAnsi="Arial"/>
                </w:rPr>
                <w:t>SEC EDGAR APIs</w:t>
              </w:r>
            </w:hyperlink>
          </w:p>
        </w:tc>
        <w:tc>
          <w:tcPr>
            <w:tcW w:type="dxa" w:w="3293"/>
            <w:shd w:fill="F7F9FA"/>
            <w:tcMar>
              <w:top w:w="70" w:type="dxa"/>
              <w:start w:w="80" w:type="dxa"/>
              <w:bottom w:w="70" w:type="dxa"/>
              <w:end w:w="80" w:type="dxa"/>
            </w:tcMar>
            <w:vAlign w:val="top"/>
          </w:tcPr>
          <w:p>
            <w:r>
              <w:rPr>
                <w:rFonts w:ascii="Arial" w:hAnsi="Arial"/>
                <w:color w:val="24313A"/>
                <w:sz w:val="14"/>
              </w:rPr>
              <w:t>Company submissions and structured financial data useful for entity and beneficiary context.</w:t>
            </w:r>
          </w:p>
        </w:tc>
      </w:tr>
      <w:tr>
        <w:trPr>
          <w:cantSplit/>
        </w:trPr>
        <w:tc>
          <w:tcPr>
            <w:tcW w:type="dxa" w:w="3293"/>
            <w:tcMar>
              <w:top w:w="70" w:type="dxa"/>
              <w:start w:w="80" w:type="dxa"/>
              <w:bottom w:w="70" w:type="dxa"/>
              <w:end w:w="80" w:type="dxa"/>
            </w:tcMar>
            <w:vAlign w:val="top"/>
          </w:tcPr>
          <w:p>
            <w:r>
              <w:rPr>
                <w:rFonts w:ascii="Arial" w:hAnsi="Arial"/>
                <w:b/>
                <w:color w:val="17324D"/>
                <w:sz w:val="14"/>
              </w:rPr>
              <w:t>S19</w:t>
            </w:r>
          </w:p>
        </w:tc>
        <w:tc>
          <w:tcPr>
            <w:tcW w:type="dxa" w:w="3293"/>
            <w:tcMar>
              <w:top w:w="70" w:type="dxa"/>
              <w:start w:w="80" w:type="dxa"/>
              <w:bottom w:w="70" w:type="dxa"/>
              <w:end w:w="80" w:type="dxa"/>
            </w:tcMar>
            <w:vAlign w:val="top"/>
          </w:tcPr>
          <w:p>
            <w:hyperlink r:id="rId32">
              <w:r>
                <w:rPr>
                  <w:color w:val="2B6F9F"/>
                  <w:u w:val="single"/>
                  <w:rFonts w:ascii="Arial" w:hAnsi="Arial"/>
                </w:rPr>
                <w:t>OMB Federal Program Inventory</w:t>
              </w:r>
            </w:hyperlink>
          </w:p>
        </w:tc>
        <w:tc>
          <w:tcPr>
            <w:tcW w:type="dxa" w:w="3293"/>
            <w:tcMar>
              <w:top w:w="70" w:type="dxa"/>
              <w:start w:w="80" w:type="dxa"/>
              <w:bottom w:w="70" w:type="dxa"/>
              <w:end w:w="80" w:type="dxa"/>
            </w:tcMar>
            <w:vAlign w:val="top"/>
          </w:tcPr>
          <w:p>
            <w:r>
              <w:rPr>
                <w:rFonts w:ascii="Arial" w:hAnsi="Arial"/>
                <w:color w:val="24313A"/>
                <w:sz w:val="14"/>
              </w:rPr>
              <w:t>Program and tax-expenditure context, with links to spending and oversight sources.</w:t>
            </w:r>
          </w:p>
        </w:tc>
      </w:tr>
    </w:tbl>
    <w:p>
      <w:pPr>
        <w:spacing w:after="60"/>
      </w:pPr>
      <w:r>
        <w:rPr>
          <w:rFonts w:ascii="Arial" w:hAnsi="Arial"/>
          <w:i/>
          <w:color w:val="697784"/>
          <w:sz w:val="16"/>
        </w:rPr>
        <w:t>Source landscape reviewed July 22, 2026. Coverage, APIs, policies, and methods can change; connectors and source cards must be versioned and monitored.</w:t>
      </w:r>
    </w:p>
    <w:p>
      <w:pPr>
        <w:pStyle w:val="Heading2"/>
      </w:pPr>
      <w:r>
        <w:t>Appendix D — Glossary</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304"/>
            <w:shd w:fill="17324D"/>
            <w:tcMar>
              <w:top w:w="90" w:type="dxa"/>
              <w:start w:w="90" w:type="dxa"/>
              <w:bottom w:w="90" w:type="dxa"/>
              <w:end w:w="90" w:type="dxa"/>
            </w:tcMar>
            <w:vAlign w:val="center"/>
          </w:tcPr>
          <w:p>
            <w:pPr>
              <w:jc w:val="left"/>
            </w:pPr>
            <w:r>
              <w:rPr>
                <w:rFonts w:ascii="Arial" w:hAnsi="Arial"/>
                <w:b/>
                <w:color w:val="FFFFFF"/>
                <w:sz w:val="16"/>
              </w:rPr>
              <w:t>Term</w:t>
            </w:r>
          </w:p>
        </w:tc>
        <w:tc>
          <w:tcPr>
            <w:tcW w:type="dxa" w:w="7200"/>
            <w:shd w:fill="17324D"/>
            <w:tcMar>
              <w:top w:w="90" w:type="dxa"/>
              <w:start w:w="90" w:type="dxa"/>
              <w:bottom w:w="90" w:type="dxa"/>
              <w:end w:w="90" w:type="dxa"/>
            </w:tcMar>
            <w:vAlign w:val="center"/>
          </w:tcPr>
          <w:p>
            <w:pPr>
              <w:jc w:val="left"/>
            </w:pPr>
            <w:r>
              <w:rPr>
                <w:rFonts w:ascii="Arial" w:hAnsi="Arial"/>
                <w:b/>
                <w:color w:val="FFFFFF"/>
                <w:sz w:val="16"/>
              </w:rPr>
              <w:t>Definition</w:t>
            </w:r>
          </w:p>
        </w:tc>
      </w:tr>
      <w:tr>
        <w:trPr>
          <w:cantSplit/>
        </w:trPr>
        <w:tc>
          <w:tcPr>
            <w:tcW w:type="dxa" w:w="2304"/>
            <w:tcMar>
              <w:top w:w="75" w:type="dxa"/>
              <w:start w:w="85" w:type="dxa"/>
              <w:bottom w:w="75" w:type="dxa"/>
              <w:end w:w="85" w:type="dxa"/>
            </w:tcMar>
            <w:vAlign w:val="top"/>
          </w:tcPr>
          <w:p>
            <w:pPr>
              <w:spacing w:after="0"/>
            </w:pPr>
            <w:r>
              <w:rPr>
                <w:rFonts w:ascii="Arial" w:hAnsi="Arial"/>
                <w:color w:val="24313A"/>
                <w:sz w:val="16"/>
              </w:rPr>
              <w:t>Baseline</w:t>
            </w:r>
          </w:p>
        </w:tc>
        <w:tc>
          <w:tcPr>
            <w:tcW w:type="dxa" w:w="7200"/>
            <w:tcMar>
              <w:top w:w="75" w:type="dxa"/>
              <w:start w:w="85" w:type="dxa"/>
              <w:bottom w:w="75" w:type="dxa"/>
              <w:end w:w="85" w:type="dxa"/>
            </w:tcMar>
            <w:vAlign w:val="top"/>
          </w:tcPr>
          <w:p>
            <w:pPr>
              <w:spacing w:after="0"/>
            </w:pPr>
            <w:r>
              <w:rPr>
                <w:rFonts w:ascii="Arial" w:hAnsi="Arial"/>
                <w:color w:val="24313A"/>
                <w:sz w:val="16"/>
              </w:rPr>
              <w:t>The counterfactual against which a proposal is measured, such as current law or an official budget projection.</w:t>
            </w:r>
          </w:p>
        </w:tc>
      </w:tr>
      <w:tr>
        <w:trPr>
          <w:cantSplit/>
        </w:trPr>
        <w:tc>
          <w:tcPr>
            <w:tcW w:type="dxa" w:w="2304"/>
            <w:shd w:fill="F7F9FA"/>
            <w:tcMar>
              <w:top w:w="75" w:type="dxa"/>
              <w:start w:w="85" w:type="dxa"/>
              <w:bottom w:w="75" w:type="dxa"/>
              <w:end w:w="85" w:type="dxa"/>
            </w:tcMar>
            <w:vAlign w:val="top"/>
          </w:tcPr>
          <w:p>
            <w:pPr>
              <w:spacing w:after="0"/>
            </w:pPr>
            <w:r>
              <w:rPr>
                <w:rFonts w:ascii="Arial" w:hAnsi="Arial"/>
                <w:color w:val="24313A"/>
                <w:sz w:val="16"/>
              </w:rPr>
              <w:t>Distributional analysis</w:t>
            </w:r>
          </w:p>
        </w:tc>
        <w:tc>
          <w:tcPr>
            <w:tcW w:type="dxa" w:w="7200"/>
            <w:shd w:fill="F7F9FA"/>
            <w:tcMar>
              <w:top w:w="75" w:type="dxa"/>
              <w:start w:w="85" w:type="dxa"/>
              <w:bottom w:w="75" w:type="dxa"/>
              <w:end w:w="85" w:type="dxa"/>
            </w:tcMar>
            <w:vAlign w:val="top"/>
          </w:tcPr>
          <w:p>
            <w:pPr>
              <w:spacing w:after="0"/>
            </w:pPr>
            <w:r>
              <w:rPr>
                <w:rFonts w:ascii="Arial" w:hAnsi="Arial"/>
                <w:color w:val="24313A"/>
                <w:sz w:val="16"/>
              </w:rPr>
              <w:t>Analysis of how taxes, benefits, or resources change across income or other population groups.</w:t>
            </w:r>
          </w:p>
        </w:tc>
      </w:tr>
      <w:tr>
        <w:trPr>
          <w:cantSplit/>
        </w:trPr>
        <w:tc>
          <w:tcPr>
            <w:tcW w:type="dxa" w:w="2304"/>
            <w:tcMar>
              <w:top w:w="75" w:type="dxa"/>
              <w:start w:w="85" w:type="dxa"/>
              <w:bottom w:w="75" w:type="dxa"/>
              <w:end w:w="85" w:type="dxa"/>
            </w:tcMar>
            <w:vAlign w:val="top"/>
          </w:tcPr>
          <w:p>
            <w:pPr>
              <w:spacing w:after="0"/>
            </w:pPr>
            <w:r>
              <w:rPr>
                <w:rFonts w:ascii="Arial" w:hAnsi="Arial"/>
                <w:color w:val="24313A"/>
                <w:sz w:val="16"/>
              </w:rPr>
              <w:t>Economic incidence</w:t>
            </w:r>
          </w:p>
        </w:tc>
        <w:tc>
          <w:tcPr>
            <w:tcW w:type="dxa" w:w="7200"/>
            <w:tcMar>
              <w:top w:w="75" w:type="dxa"/>
              <w:start w:w="85" w:type="dxa"/>
              <w:bottom w:w="75" w:type="dxa"/>
              <w:end w:w="85" w:type="dxa"/>
            </w:tcMar>
            <w:vAlign w:val="top"/>
          </w:tcPr>
          <w:p>
            <w:pPr>
              <w:spacing w:after="0"/>
            </w:pPr>
            <w:r>
              <w:rPr>
                <w:rFonts w:ascii="Arial" w:hAnsi="Arial"/>
                <w:color w:val="24313A"/>
                <w:sz w:val="16"/>
              </w:rPr>
              <w:t>Who ultimately bears a tax or receives a benefit after prices, wages, returns, or behavior adjust.</w:t>
            </w:r>
          </w:p>
        </w:tc>
      </w:tr>
      <w:tr>
        <w:trPr>
          <w:cantSplit/>
        </w:trPr>
        <w:tc>
          <w:tcPr>
            <w:tcW w:type="dxa" w:w="2304"/>
            <w:shd w:fill="F7F9FA"/>
            <w:tcMar>
              <w:top w:w="75" w:type="dxa"/>
              <w:start w:w="85" w:type="dxa"/>
              <w:bottom w:w="75" w:type="dxa"/>
              <w:end w:w="85" w:type="dxa"/>
            </w:tcMar>
            <w:vAlign w:val="top"/>
          </w:tcPr>
          <w:p>
            <w:pPr>
              <w:spacing w:after="0"/>
            </w:pPr>
            <w:r>
              <w:rPr>
                <w:rFonts w:ascii="Arial" w:hAnsi="Arial"/>
                <w:color w:val="24313A"/>
                <w:sz w:val="16"/>
              </w:rPr>
              <w:t>Evidence graph</w:t>
            </w:r>
          </w:p>
        </w:tc>
        <w:tc>
          <w:tcPr>
            <w:tcW w:type="dxa" w:w="7200"/>
            <w:shd w:fill="F7F9FA"/>
            <w:tcMar>
              <w:top w:w="75" w:type="dxa"/>
              <w:start w:w="85" w:type="dxa"/>
              <w:bottom w:w="75" w:type="dxa"/>
              <w:end w:w="85" w:type="dxa"/>
            </w:tcMar>
            <w:vAlign w:val="top"/>
          </w:tcPr>
          <w:p>
            <w:pPr>
              <w:spacing w:after="0"/>
            </w:pPr>
            <w:r>
              <w:rPr>
                <w:rFonts w:ascii="Arial" w:hAnsi="Arial"/>
                <w:color w:val="24313A"/>
                <w:sz w:val="16"/>
              </w:rPr>
              <w:t>Structured relationships connecting source text, provisions, rules, data, calculations, entities, flags, findings, and reviewers.</w:t>
            </w:r>
          </w:p>
        </w:tc>
      </w:tr>
      <w:tr>
        <w:trPr>
          <w:cantSplit/>
        </w:trPr>
        <w:tc>
          <w:tcPr>
            <w:tcW w:type="dxa" w:w="2304"/>
            <w:tcMar>
              <w:top w:w="75" w:type="dxa"/>
              <w:start w:w="85" w:type="dxa"/>
              <w:bottom w:w="75" w:type="dxa"/>
              <w:end w:w="85" w:type="dxa"/>
            </w:tcMar>
            <w:vAlign w:val="top"/>
          </w:tcPr>
          <w:p>
            <w:pPr>
              <w:spacing w:after="0"/>
            </w:pPr>
            <w:r>
              <w:rPr>
                <w:rFonts w:ascii="Arial" w:hAnsi="Arial"/>
                <w:color w:val="24313A"/>
                <w:sz w:val="16"/>
              </w:rPr>
              <w:t>Material change</w:t>
            </w:r>
          </w:p>
        </w:tc>
        <w:tc>
          <w:tcPr>
            <w:tcW w:type="dxa" w:w="7200"/>
            <w:tcMar>
              <w:top w:w="75" w:type="dxa"/>
              <w:start w:w="85" w:type="dxa"/>
              <w:bottom w:w="75" w:type="dxa"/>
              <w:end w:w="85" w:type="dxa"/>
            </w:tcMar>
            <w:vAlign w:val="top"/>
          </w:tcPr>
          <w:p>
            <w:pPr>
              <w:spacing w:after="0"/>
            </w:pPr>
            <w:r>
              <w:rPr>
                <w:rFonts w:ascii="Arial" w:hAnsi="Arial"/>
                <w:color w:val="24313A"/>
                <w:sz w:val="16"/>
              </w:rPr>
              <w:t>A change likely to alter legal operation, eligibility, amount, timing, administration, distribution, or interpretation.</w:t>
            </w:r>
          </w:p>
        </w:tc>
      </w:tr>
      <w:tr>
        <w:trPr>
          <w:cantSplit/>
        </w:trPr>
        <w:tc>
          <w:tcPr>
            <w:tcW w:type="dxa" w:w="2304"/>
            <w:shd w:fill="F7F9FA"/>
            <w:tcMar>
              <w:top w:w="75" w:type="dxa"/>
              <w:start w:w="85" w:type="dxa"/>
              <w:bottom w:w="75" w:type="dxa"/>
              <w:end w:w="85" w:type="dxa"/>
            </w:tcMar>
            <w:vAlign w:val="top"/>
          </w:tcPr>
          <w:p>
            <w:pPr>
              <w:spacing w:after="0"/>
            </w:pPr>
            <w:r>
              <w:rPr>
                <w:rFonts w:ascii="Arial" w:hAnsi="Arial"/>
                <w:color w:val="24313A"/>
                <w:sz w:val="16"/>
              </w:rPr>
              <w:t>Microsimulation</w:t>
            </w:r>
          </w:p>
        </w:tc>
        <w:tc>
          <w:tcPr>
            <w:tcW w:type="dxa" w:w="7200"/>
            <w:shd w:fill="F7F9FA"/>
            <w:tcMar>
              <w:top w:w="75" w:type="dxa"/>
              <w:start w:w="85" w:type="dxa"/>
              <w:bottom w:w="75" w:type="dxa"/>
              <w:end w:w="85" w:type="dxa"/>
            </w:tcMar>
            <w:vAlign w:val="top"/>
          </w:tcPr>
          <w:p>
            <w:pPr>
              <w:spacing w:after="0"/>
            </w:pPr>
            <w:r>
              <w:rPr>
                <w:rFonts w:ascii="Arial" w:hAnsi="Arial"/>
                <w:color w:val="24313A"/>
                <w:sz w:val="16"/>
              </w:rPr>
              <w:t>Applying policy rules to many weighted records representing a population to estimate aggregate and distributional effects.</w:t>
            </w:r>
          </w:p>
        </w:tc>
      </w:tr>
      <w:tr>
        <w:trPr>
          <w:cantSplit/>
        </w:trPr>
        <w:tc>
          <w:tcPr>
            <w:tcW w:type="dxa" w:w="2304"/>
            <w:tcMar>
              <w:top w:w="75" w:type="dxa"/>
              <w:start w:w="85" w:type="dxa"/>
              <w:bottom w:w="75" w:type="dxa"/>
              <w:end w:w="85" w:type="dxa"/>
            </w:tcMar>
            <w:vAlign w:val="top"/>
          </w:tcPr>
          <w:p>
            <w:pPr>
              <w:spacing w:after="0"/>
            </w:pPr>
            <w:r>
              <w:rPr>
                <w:rFonts w:ascii="Arial" w:hAnsi="Arial"/>
                <w:color w:val="24313A"/>
                <w:sz w:val="16"/>
              </w:rPr>
              <w:t>Provision</w:t>
            </w:r>
          </w:p>
        </w:tc>
        <w:tc>
          <w:tcPr>
            <w:tcW w:type="dxa" w:w="7200"/>
            <w:tcMar>
              <w:top w:w="75" w:type="dxa"/>
              <w:start w:w="85" w:type="dxa"/>
              <w:bottom w:w="75" w:type="dxa"/>
              <w:end w:w="85" w:type="dxa"/>
            </w:tcMar>
            <w:vAlign w:val="top"/>
          </w:tcPr>
          <w:p>
            <w:pPr>
              <w:spacing w:after="0"/>
            </w:pPr>
            <w:r>
              <w:rPr>
                <w:rFonts w:ascii="Arial" w:hAnsi="Arial"/>
                <w:color w:val="24313A"/>
                <w:sz w:val="16"/>
              </w:rPr>
              <w:t>A coherent legal change treated as an independent analytical object.</w:t>
            </w:r>
          </w:p>
        </w:tc>
      </w:tr>
      <w:tr>
        <w:trPr>
          <w:cantSplit/>
        </w:trPr>
        <w:tc>
          <w:tcPr>
            <w:tcW w:type="dxa" w:w="2304"/>
            <w:shd w:fill="F7F9FA"/>
            <w:tcMar>
              <w:top w:w="75" w:type="dxa"/>
              <w:start w:w="85" w:type="dxa"/>
              <w:bottom w:w="75" w:type="dxa"/>
              <w:end w:w="85" w:type="dxa"/>
            </w:tcMar>
            <w:vAlign w:val="top"/>
          </w:tcPr>
          <w:p>
            <w:pPr>
              <w:spacing w:after="0"/>
            </w:pPr>
            <w:r>
              <w:rPr>
                <w:rFonts w:ascii="Arial" w:hAnsi="Arial"/>
                <w:color w:val="24313A"/>
                <w:sz w:val="16"/>
              </w:rPr>
              <w:t>Provenance</w:t>
            </w:r>
          </w:p>
        </w:tc>
        <w:tc>
          <w:tcPr>
            <w:tcW w:type="dxa" w:w="7200"/>
            <w:shd w:fill="F7F9FA"/>
            <w:tcMar>
              <w:top w:w="75" w:type="dxa"/>
              <w:start w:w="85" w:type="dxa"/>
              <w:bottom w:w="75" w:type="dxa"/>
              <w:end w:w="85" w:type="dxa"/>
            </w:tcMar>
            <w:vAlign w:val="top"/>
          </w:tcPr>
          <w:p>
            <w:pPr>
              <w:spacing w:after="0"/>
            </w:pPr>
            <w:r>
              <w:rPr>
                <w:rFonts w:ascii="Arial" w:hAnsi="Arial"/>
                <w:color w:val="24313A"/>
                <w:sz w:val="16"/>
              </w:rPr>
              <w:t>The record of where data came from, when it was acquired, how it was transformed, and which outputs depend on it.</w:t>
            </w:r>
          </w:p>
        </w:tc>
      </w:tr>
      <w:tr>
        <w:trPr>
          <w:cantSplit/>
        </w:trPr>
        <w:tc>
          <w:tcPr>
            <w:tcW w:type="dxa" w:w="2304"/>
            <w:tcMar>
              <w:top w:w="75" w:type="dxa"/>
              <w:start w:w="85" w:type="dxa"/>
              <w:bottom w:w="75" w:type="dxa"/>
              <w:end w:w="85" w:type="dxa"/>
            </w:tcMar>
            <w:vAlign w:val="top"/>
          </w:tcPr>
          <w:p>
            <w:pPr>
              <w:spacing w:after="0"/>
            </w:pPr>
            <w:r>
              <w:rPr>
                <w:rFonts w:ascii="Arial" w:hAnsi="Arial"/>
                <w:color w:val="24313A"/>
                <w:sz w:val="16"/>
              </w:rPr>
              <w:t>Tax unit</w:t>
            </w:r>
          </w:p>
        </w:tc>
        <w:tc>
          <w:tcPr>
            <w:tcW w:type="dxa" w:w="7200"/>
            <w:tcMar>
              <w:top w:w="75" w:type="dxa"/>
              <w:start w:w="85" w:type="dxa"/>
              <w:bottom w:w="75" w:type="dxa"/>
              <w:end w:w="85" w:type="dxa"/>
            </w:tcMar>
            <w:vAlign w:val="top"/>
          </w:tcPr>
          <w:p>
            <w:pPr>
              <w:spacing w:after="0"/>
            </w:pPr>
            <w:r>
              <w:rPr>
                <w:rFonts w:ascii="Arial" w:hAnsi="Arial"/>
                <w:color w:val="24313A"/>
                <w:sz w:val="16"/>
              </w:rPr>
              <w:t>Individuals grouped for income-tax filing and liability, which may differ from a household.</w:t>
            </w:r>
          </w:p>
        </w:tc>
      </w:tr>
      <w:tr>
        <w:trPr>
          <w:cantSplit/>
        </w:trPr>
        <w:tc>
          <w:tcPr>
            <w:tcW w:type="dxa" w:w="2304"/>
            <w:shd w:fill="F7F9FA"/>
            <w:tcMar>
              <w:top w:w="75" w:type="dxa"/>
              <w:start w:w="85" w:type="dxa"/>
              <w:bottom w:w="75" w:type="dxa"/>
              <w:end w:w="85" w:type="dxa"/>
            </w:tcMar>
            <w:vAlign w:val="top"/>
          </w:tcPr>
          <w:p>
            <w:pPr>
              <w:spacing w:after="0"/>
            </w:pPr>
            <w:r>
              <w:rPr>
                <w:rFonts w:ascii="Arial" w:hAnsi="Arial"/>
                <w:color w:val="24313A"/>
                <w:sz w:val="16"/>
              </w:rPr>
              <w:t>Uncertainty range</w:t>
            </w:r>
          </w:p>
        </w:tc>
        <w:tc>
          <w:tcPr>
            <w:tcW w:type="dxa" w:w="7200"/>
            <w:shd w:fill="F7F9FA"/>
            <w:tcMar>
              <w:top w:w="75" w:type="dxa"/>
              <w:start w:w="85" w:type="dxa"/>
              <w:bottom w:w="75" w:type="dxa"/>
              <w:end w:w="85" w:type="dxa"/>
            </w:tcMar>
            <w:vAlign w:val="top"/>
          </w:tcPr>
          <w:p>
            <w:pPr>
              <w:spacing w:after="0"/>
            </w:pPr>
            <w:r>
              <w:rPr>
                <w:rFonts w:ascii="Arial" w:hAnsi="Arial"/>
                <w:color w:val="24313A"/>
                <w:sz w:val="16"/>
              </w:rPr>
              <w:t>A bounded set of plausible results under documented assumptions, data error, behavior, or model differences.</w:t>
            </w:r>
          </w:p>
        </w:tc>
      </w:tr>
      <w:tr>
        <w:trPr>
          <w:cantSplit/>
        </w:trPr>
        <w:tc>
          <w:tcPr>
            <w:tcW w:type="dxa" w:w="2304"/>
            <w:shd w:fill="F7F9FA"/>
            <w:tcMar>
              <w:top w:w="75" w:type="dxa"/>
              <w:start w:w="85" w:type="dxa"/>
              <w:bottom w:w="75" w:type="dxa"/>
              <w:end w:w="85" w:type="dxa"/>
            </w:tcMar>
            <w:vAlign w:val="top"/>
          </w:tcPr>
          <w:p>
            <w:pPr>
              <w:spacing w:after="0"/>
            </w:pPr>
            <w:r>
              <w:rPr>
                <w:rFonts w:ascii="Arial" w:hAnsi="Arial"/>
                <w:color w:val="24313A"/>
                <w:sz w:val="16"/>
              </w:rPr>
              <w:t>AI Decision Ledger</w:t>
            </w:r>
          </w:p>
        </w:tc>
        <w:tc>
          <w:tcPr>
            <w:tcW w:type="dxa" w:w="7200"/>
            <w:shd w:fill="F7F9FA"/>
            <w:tcMar>
              <w:top w:w="75" w:type="dxa"/>
              <w:start w:w="85" w:type="dxa"/>
              <w:bottom w:w="75" w:type="dxa"/>
              <w:end w:w="85" w:type="dxa"/>
            </w:tcMar>
            <w:vAlign w:val="top"/>
          </w:tcPr>
          <w:p>
            <w:r>
              <w:t>Tamper-evident, queryable decision-history record of material AI instructions, evidence references, outputs, validation, risk, publication, review, correction, retention, redaction, deletion authorization, and supersession.</w:t>
            </w:r>
          </w:p>
        </w:tc>
      </w:tr>
      <w:tr>
        <w:trPr>
          <w:cantSplit/>
        </w:trPr>
        <w:tc>
          <w:tcPr>
            <w:tcW w:type="dxa" w:w="2304"/>
            <w:shd w:fill="F7F9FA"/>
            <w:tcMar>
              <w:top w:w="75" w:type="dxa"/>
              <w:start w:w="85" w:type="dxa"/>
              <w:bottom w:w="75" w:type="dxa"/>
              <w:end w:w="85" w:type="dxa"/>
            </w:tcMar>
            <w:vAlign w:val="top"/>
          </w:tcPr>
          <w:p>
            <w:pPr>
              <w:spacing w:after="0"/>
            </w:pPr>
            <w:r>
              <w:rPr>
                <w:rFonts w:ascii="Arial" w:hAnsi="Arial"/>
                <w:color w:val="24313A"/>
                <w:sz w:val="16"/>
              </w:rPr>
              <w:t>Analysis unit</w:t>
            </w:r>
          </w:p>
        </w:tc>
        <w:tc>
          <w:tcPr>
            <w:tcW w:type="dxa" w:w="7200"/>
            <w:shd w:fill="F7F9FA"/>
            <w:tcMar>
              <w:top w:w="75" w:type="dxa"/>
              <w:start w:w="85" w:type="dxa"/>
              <w:bottom w:w="75" w:type="dxa"/>
              <w:end w:w="85" w:type="dxa"/>
            </w:tcMar>
            <w:vAlign w:val="top"/>
          </w:tcPr>
          <w:p>
            <w:pPr>
              <w:spacing w:after="0"/>
            </w:pPr>
            <w:r>
              <w:rPr>
                <w:rFonts w:ascii="Arial" w:hAnsi="Arial"/>
                <w:color w:val="24313A"/>
                <w:sz w:val="16"/>
              </w:rPr>
              <w:t>One or more related provisions that must be interpreted or modeled together while retaining each provision’s source trace.</w:t>
            </w:r>
          </w:p>
        </w:tc>
      </w:tr>
      <w:tr>
        <w:trPr>
          <w:cantSplit/>
        </w:trPr>
        <w:tc>
          <w:tcPr>
            <w:tcW w:type="dxa" w:w="2304"/>
            <w:shd w:fill="F7F9FA"/>
            <w:tcMar>
              <w:top w:w="75" w:type="dxa"/>
              <w:start w:w="85" w:type="dxa"/>
              <w:bottom w:w="75" w:type="dxa"/>
              <w:end w:w="85" w:type="dxa"/>
            </w:tcMar>
            <w:vAlign w:val="top"/>
          </w:tcPr>
          <w:p>
            <w:pPr>
              <w:spacing w:after="0"/>
            </w:pPr>
            <w:r>
              <w:rPr>
                <w:rFonts w:ascii="Arial" w:hAnsi="Arial"/>
                <w:color w:val="24313A"/>
                <w:sz w:val="16"/>
              </w:rPr>
              <w:t>Publication lane</w:t>
            </w:r>
          </w:p>
        </w:tc>
        <w:tc>
          <w:tcPr>
            <w:tcW w:type="dxa" w:w="7200"/>
            <w:shd w:fill="F7F9FA"/>
            <w:tcMar>
              <w:top w:w="75" w:type="dxa"/>
              <w:start w:w="85" w:type="dxa"/>
              <w:bottom w:w="75" w:type="dxa"/>
              <w:end w:w="85" w:type="dxa"/>
            </w:tcMar>
            <w:vAlign w:val="top"/>
          </w:tcPr>
          <w:p>
            <w:pPr>
              <w:spacing w:after="0"/>
            </w:pPr>
            <w:r>
              <w:rPr>
                <w:rFonts w:ascii="Arial" w:hAnsi="Arial"/>
                <w:color w:val="24313A"/>
                <w:sz w:val="16"/>
              </w:rPr>
              <w:t>Factual, provisional analytical, or verified impact channel controlling what is released and how maturity is labeled.</w:t>
            </w:r>
          </w:p>
        </w:tc>
      </w:tr>
      <w:tr>
        <w:trPr>
          <w:cantSplit/>
        </w:trPr>
        <w:tc>
          <w:tcPr>
            <w:tcW w:type="dxa" w:w="2304"/>
            <w:shd w:fill="F7F9FA"/>
            <w:tcMar>
              <w:top w:w="75" w:type="dxa"/>
              <w:start w:w="85" w:type="dxa"/>
              <w:bottom w:w="75" w:type="dxa"/>
              <w:end w:w="85" w:type="dxa"/>
            </w:tcMar>
            <w:vAlign w:val="top"/>
          </w:tcPr>
          <w:p>
            <w:pPr>
              <w:spacing w:after="0"/>
            </w:pPr>
            <w:r>
              <w:rPr>
                <w:rFonts w:ascii="Arial" w:hAnsi="Arial"/>
                <w:color w:val="24313A"/>
                <w:sz w:val="16"/>
              </w:rPr>
              <w:t>Publication state</w:t>
            </w:r>
          </w:p>
        </w:tc>
        <w:tc>
          <w:tcPr>
            <w:tcW w:type="dxa" w:w="7200"/>
            <w:shd w:fill="F7F9FA"/>
            <w:tcMar>
              <w:top w:w="75" w:type="dxa"/>
              <w:start w:w="85" w:type="dxa"/>
              <w:bottom w:w="75" w:type="dxa"/>
              <w:end w:w="85" w:type="dxa"/>
            </w:tcMar>
            <w:vAlign w:val="top"/>
          </w:tcPr>
          <w:p>
            <w:pPr>
              <w:spacing w:after="0"/>
            </w:pPr>
            <w:r>
              <w:rPr>
                <w:rFonts w:ascii="Arial" w:hAnsi="Arial"/>
                <w:color w:val="24313A"/>
                <w:sz w:val="16"/>
              </w:rPr>
              <w:t>Claim-level evidence maturity from source verified through provisional, analyst/expert reviewed, corrected, or superseded.</w:t>
            </w:r>
          </w:p>
        </w:tc>
      </w:tr>
      <w:tr>
        <w:trPr>
          <w:cantSplit/>
        </w:trPr>
        <w:tc>
          <w:tcPr>
            <w:tcW w:type="dxa" w:w="2304"/>
            <w:shd w:fill="F7F9FA"/>
            <w:tcMar>
              <w:top w:w="75" w:type="dxa"/>
              <w:start w:w="85" w:type="dxa"/>
              <w:bottom w:w="75" w:type="dxa"/>
              <w:end w:w="85" w:type="dxa"/>
            </w:tcMar>
            <w:vAlign w:val="top"/>
          </w:tcPr>
          <w:p>
            <w:pPr>
              <w:spacing w:after="0"/>
            </w:pPr>
            <w:r>
              <w:rPr>
                <w:rFonts w:ascii="Arial" w:hAnsi="Arial"/>
                <w:color w:val="24313A"/>
                <w:sz w:val="16"/>
              </w:rPr>
              <w:t>Perspective profile</w:t>
            </w:r>
          </w:p>
        </w:tc>
        <w:tc>
          <w:tcPr>
            <w:tcW w:type="dxa" w:w="7200"/>
            <w:shd w:fill="F7F9FA"/>
            <w:tcMar>
              <w:top w:w="75" w:type="dxa"/>
              <w:start w:w="85" w:type="dxa"/>
              <w:bottom w:w="75" w:type="dxa"/>
              <w:end w:w="85" w:type="dxa"/>
            </w:tcMar>
            <w:vAlign w:val="top"/>
          </w:tcPr>
          <w:p>
            <w:r>
              <w:t>Versioned value priorities, interpretive questions, reporting emphasis, sources, constraints, and limitations applied to invariant evidence and governed model-scenario outputs.</w:t>
            </w:r>
          </w:p>
        </w:tc>
      </w:tr>
      <w:tr>
        <w:tc>
          <w:tcPr>
            <w:tcW w:type="dxa" w:w="4939"/>
          </w:tcPr>
          <w:p>
            <w:r>
              <w:t>Model scenario</w:t>
            </w:r>
          </w:p>
        </w:tc>
        <w:tc>
          <w:tcPr>
            <w:tcW w:type="dxa" w:w="4939"/>
          </w:tcPr>
          <w:p>
            <w:r>
              <w:t>A separately governed technical assumption set defining baseline, data vintage, horizon, incidence, behavioral response, discounting, financing treatment, uncertainty, and model version.</w:t>
            </w:r>
          </w:p>
        </w:tc>
      </w:tr>
      <w:tr>
        <w:tc>
          <w:tcPr>
            <w:tcW w:type="dxa" w:w="4939"/>
          </w:tcPr>
          <w:p>
            <w:r>
              <w:t>Targeted-provision indicator</w:t>
            </w:r>
          </w:p>
        </w:tc>
        <w:tc>
          <w:tcPr>
            <w:tcW w:type="dxa" w:w="4939"/>
          </w:tcPr>
          <w:p>
            <w:r>
              <w:t>A neutral automated or rule-based signal describing an observable provision characteristic. It is not a finding of misconduct, improper intent, or a loophole.</w:t>
            </w:r>
          </w:p>
        </w:tc>
      </w:tr>
      <w:tr>
        <w:tc>
          <w:tcPr>
            <w:tcW w:type="dxa" w:w="4939"/>
          </w:tcPr>
          <w:p>
            <w:r>
              <w:t>Statutory transformation</w:t>
            </w:r>
          </w:p>
        </w:tc>
        <w:tc>
          <w:tcPr>
            <w:tcW w:type="dxa" w:w="4939"/>
          </w:tcPr>
          <w:p>
            <w:r>
              <w:t>The deterministic application and validation of an amendatory instruction against canonical legal text, with source, operation, before/after, reconciliation, and unresolved-state records.</w:t>
            </w:r>
          </w:p>
        </w:tc>
      </w:tr>
    </w:tbl>
    <w:p>
      <w:pPr>
        <w:pStyle w:val="Heading2"/>
      </w:pPr>
      <w:r>
        <w:t>Appendix E — Immediate next steps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880"/>
            <w:shd w:fill="17324D"/>
            <w:tcMar>
              <w:top w:w="90" w:type="dxa"/>
              <w:start w:w="90" w:type="dxa"/>
              <w:bottom w:w="90" w:type="dxa"/>
              <w:end w:w="90" w:type="dxa"/>
            </w:tcMar>
            <w:vAlign w:val="center"/>
          </w:tcPr>
          <w:p>
            <w:pPr>
              <w:jc w:val="left"/>
            </w:pPr>
            <w:r>
              <w:rPr>
                <w:rFonts w:ascii="Arial" w:hAnsi="Arial"/>
                <w:b/>
                <w:color w:val="FFFFFF"/>
                <w:sz w:val="16"/>
              </w:rPr>
              <w:t>Step</w:t>
            </w:r>
          </w:p>
        </w:tc>
        <w:tc>
          <w:tcPr>
            <w:tcW w:type="dxa" w:w="6624"/>
            <w:shd w:fill="17324D"/>
            <w:tcMar>
              <w:top w:w="90" w:type="dxa"/>
              <w:start w:w="90" w:type="dxa"/>
              <w:bottom w:w="90" w:type="dxa"/>
              <w:end w:w="90" w:type="dxa"/>
            </w:tcMar>
            <w:vAlign w:val="center"/>
          </w:tcPr>
          <w:p>
            <w:pPr>
              <w:jc w:val="left"/>
            </w:pPr>
            <w:r>
              <w:rPr>
                <w:rFonts w:ascii="Arial" w:hAnsi="Arial"/>
                <w:b/>
                <w:color w:val="FFFFFF"/>
                <w:sz w:val="16"/>
              </w:rPr>
              <w:t>Deliverable</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6"/>
              </w:rPr>
              <w:t>Confirm product identity</w:t>
            </w:r>
          </w:p>
        </w:tc>
        <w:tc>
          <w:tcPr>
            <w:tcW w:type="dxa" w:w="6624"/>
            <w:tcMar>
              <w:top w:w="75" w:type="dxa"/>
              <w:start w:w="85" w:type="dxa"/>
              <w:bottom w:w="75" w:type="dxa"/>
              <w:end w:w="85" w:type="dxa"/>
            </w:tcMar>
            <w:vAlign w:val="top"/>
          </w:tcPr>
          <w:p>
            <w:pPr>
              <w:spacing w:after="0"/>
            </w:pPr>
            <w:r>
              <w:rPr>
                <w:rFonts w:ascii="Arial" w:hAnsi="Arial"/>
                <w:color w:val="24313A"/>
                <w:sz w:val="16"/>
              </w:rPr>
              <w:t>Use The People’s Ledger as the public project name and complete routine trademark, domain, and brand clearance.</w:t>
            </w:r>
          </w:p>
        </w:tc>
      </w:tr>
      <w:tr>
        <w:trPr>
          <w:cantSplit/>
        </w:trPr>
        <w:tc>
          <w:tcPr>
            <w:tcW w:type="dxa" w:w="2880"/>
            <w:shd w:fill="F7F9FA"/>
            <w:tcMar>
              <w:top w:w="75" w:type="dxa"/>
              <w:start w:w="85" w:type="dxa"/>
              <w:bottom w:w="75" w:type="dxa"/>
              <w:end w:w="85" w:type="dxa"/>
            </w:tcMar>
            <w:vAlign w:val="top"/>
          </w:tcPr>
          <w:p>
            <w:r>
              <w:t>Adopt the Version 0.3 analytical contract</w:t>
            </w:r>
          </w:p>
        </w:tc>
        <w:tc>
          <w:tcPr>
            <w:tcW w:type="dxa" w:w="6624"/>
            <w:shd w:fill="F7F9FA"/>
            <w:tcMar>
              <w:top w:w="75" w:type="dxa"/>
              <w:start w:w="85" w:type="dxa"/>
              <w:bottom w:w="75" w:type="dxa"/>
              <w:end w:w="85" w:type="dxa"/>
            </w:tcMar>
            <w:vAlign w:val="top"/>
          </w:tcPr>
          <w:p>
            <w:r>
              <w:t>Approve terminology, neutral public indicators, evidence maturity, publication lanes, direct-federal POC boundary, model_scenario governance, baseline IDs, interaction and incidence rules, privacy contract, and correction principles.</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6"/>
              </w:rPr>
              <w:t>Define pilot rubric and choose bounded TCJA provisions</w:t>
            </w:r>
          </w:p>
        </w:tc>
        <w:tc>
          <w:tcPr>
            <w:tcW w:type="dxa" w:w="6624"/>
            <w:tcMar>
              <w:top w:w="75" w:type="dxa"/>
              <w:start w:w="85" w:type="dxa"/>
              <w:bottom w:w="75" w:type="dxa"/>
              <w:end w:w="85" w:type="dxa"/>
            </w:tcMar>
            <w:vAlign w:val="top"/>
          </w:tcPr>
          <w:p>
            <w:pPr>
              <w:spacing w:after="0"/>
            </w:pPr>
            <w:r>
              <w:rPr>
                <w:rFonts w:ascii="Arial" w:hAnsi="Arial"/>
                <w:color w:val="24313A"/>
                <w:sz w:val="16"/>
              </w:rPr>
              <w:t>Use a representative 8–12 provision subset rather than claiming a complete first analysis of the entire law.</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6"/>
              </w:rPr>
              <w:t>Build one complete manual exemplar</w:t>
            </w:r>
          </w:p>
        </w:tc>
        <w:tc>
          <w:tcPr>
            <w:tcW w:type="dxa" w:w="6624"/>
            <w:shd w:fill="F7F9FA"/>
            <w:tcMar>
              <w:top w:w="75" w:type="dxa"/>
              <w:start w:w="85" w:type="dxa"/>
              <w:bottom w:w="75" w:type="dxa"/>
              <w:end w:w="85" w:type="dxa"/>
            </w:tcMar>
            <w:vAlign w:val="top"/>
          </w:tcPr>
          <w:p>
            <w:r>
              <w:t>Create source records, deterministic statutory transformations, JSON, calculations, indicators, decision records, governed scenario comparisons, perspective comparisons, and public HTML before automating the workflow.</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6"/>
              </w:rPr>
              <w:t>Prototype source ingestion</w:t>
            </w:r>
          </w:p>
        </w:tc>
        <w:tc>
          <w:tcPr>
            <w:tcW w:type="dxa" w:w="6624"/>
            <w:tcMar>
              <w:top w:w="75" w:type="dxa"/>
              <w:start w:w="85" w:type="dxa"/>
              <w:bottom w:w="75" w:type="dxa"/>
              <w:end w:w="85" w:type="dxa"/>
            </w:tcMar>
            <w:vAlign w:val="top"/>
          </w:tcPr>
          <w:p>
            <w:pPr>
              <w:spacing w:after="0"/>
            </w:pPr>
            <w:r>
              <w:rPr>
                <w:rFonts w:ascii="Arial" w:hAnsi="Arial"/>
                <w:color w:val="24313A"/>
                <w:sz w:val="16"/>
              </w:rPr>
              <w:t>Acquire and reconcile Congress.gov and GovInfo records, preserving hashes and version identity.</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6"/>
              </w:rPr>
              <w:t>Prototype automated assurance</w:t>
            </w:r>
          </w:p>
        </w:tc>
        <w:tc>
          <w:tcPr>
            <w:tcW w:type="dxa" w:w="6624"/>
            <w:shd w:fill="F7F9FA"/>
            <w:tcMar>
              <w:top w:w="75" w:type="dxa"/>
              <w:start w:w="85" w:type="dxa"/>
              <w:bottom w:w="75" w:type="dxa"/>
              <w:end w:w="85" w:type="dxa"/>
            </w:tcMar>
            <w:vAlign w:val="top"/>
          </w:tcPr>
          <w:p>
            <w:r>
              <w:t>Compare versions, propose and deterministically validate amendment operations, create candidate provisions/analysis units, run validators and challenge agents, assign risk, write controlled decision records, and measure correction effort.</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6"/>
              </w:rPr>
              <w:t>Select model strategy</w:t>
            </w:r>
          </w:p>
        </w:tc>
        <w:tc>
          <w:tcPr>
            <w:tcW w:type="dxa" w:w="6624"/>
            <w:tcMar>
              <w:top w:w="75" w:type="dxa"/>
              <w:start w:w="85" w:type="dxa"/>
              <w:bottom w:w="75" w:type="dxa"/>
              <w:end w:w="85" w:type="dxa"/>
            </w:tcMar>
            <w:vAlign w:val="top"/>
          </w:tcPr>
          <w:p>
            <w:r>
              <w:t>Select a canonical base scenario and approved alternative technical scenarios; determine what models must be built, integrated, contracted, or partnered and how changes are governed.</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6"/>
              </w:rPr>
              <w:t>Design exception and sampling review</w:t>
            </w:r>
          </w:p>
        </w:tc>
        <w:tc>
          <w:tcPr>
            <w:tcW w:type="dxa" w:w="6624"/>
            <w:shd w:fill="F7F9FA"/>
            <w:tcMar>
              <w:top w:w="75" w:type="dxa"/>
              <w:start w:w="85" w:type="dxa"/>
              <w:bottom w:w="75" w:type="dxa"/>
              <w:end w:w="85" w:type="dxa"/>
            </w:tcMar>
            <w:vAlign w:val="top"/>
          </w:tcPr>
          <w:p>
            <w:pPr>
              <w:spacing w:after="0"/>
            </w:pPr>
            <w:r>
              <w:rPr>
                <w:rFonts w:ascii="Arial" w:hAnsi="Arial"/>
                <w:color w:val="24313A"/>
                <w:sz w:val="16"/>
              </w:rPr>
              <w:t>Recruit balanced specialists, define triggers and random-sample rates, and measure false negatives rather than requiring universal approval.</w:t>
            </w:r>
          </w:p>
        </w:tc>
      </w:tr>
      <w:tr>
        <w:trPr>
          <w:cantSplit/>
        </w:trPr>
        <w:tc>
          <w:tcPr>
            <w:tcW w:type="dxa" w:w="2880"/>
            <w:tcMar>
              <w:top w:w="75" w:type="dxa"/>
              <w:start w:w="85" w:type="dxa"/>
              <w:bottom w:w="75" w:type="dxa"/>
              <w:end w:w="85" w:type="dxa"/>
            </w:tcMar>
            <w:vAlign w:val="top"/>
          </w:tcPr>
          <w:p>
            <w:pPr>
              <w:spacing w:after="0"/>
            </w:pPr>
            <w:r>
              <w:rPr>
                <w:rFonts w:ascii="Arial" w:hAnsi="Arial"/>
                <w:color w:val="24313A"/>
                <w:sz w:val="16"/>
              </w:rPr>
              <w:t>Draft independence policy</w:t>
            </w:r>
          </w:p>
        </w:tc>
        <w:tc>
          <w:tcPr>
            <w:tcW w:type="dxa" w:w="6624"/>
            <w:tcMar>
              <w:top w:w="75" w:type="dxa"/>
              <w:start w:w="85" w:type="dxa"/>
              <w:bottom w:w="75" w:type="dxa"/>
              <w:end w:w="85" w:type="dxa"/>
            </w:tcMar>
            <w:vAlign w:val="top"/>
          </w:tcPr>
          <w:p>
            <w:pPr>
              <w:spacing w:after="0"/>
            </w:pPr>
            <w:r>
              <w:rPr>
                <w:rFonts w:ascii="Arial" w:hAnsi="Arial"/>
                <w:color w:val="24313A"/>
                <w:sz w:val="16"/>
              </w:rPr>
              <w:t>Funding disclosure, conflicts, recusals, donor firewall, corrections, appeals, and public methods.</w:t>
            </w:r>
          </w:p>
        </w:tc>
      </w:tr>
      <w:tr>
        <w:trPr>
          <w:cantSplit/>
        </w:trPr>
        <w:tc>
          <w:tcPr>
            <w:tcW w:type="dxa" w:w="2880"/>
            <w:shd w:fill="F7F9FA"/>
            <w:tcMar>
              <w:top w:w="75" w:type="dxa"/>
              <w:start w:w="85" w:type="dxa"/>
              <w:bottom w:w="75" w:type="dxa"/>
              <w:end w:w="85" w:type="dxa"/>
            </w:tcMar>
            <w:vAlign w:val="top"/>
          </w:tcPr>
          <w:p>
            <w:pPr>
              <w:spacing w:after="0"/>
            </w:pPr>
            <w:r>
              <w:rPr>
                <w:rFonts w:ascii="Arial" w:hAnsi="Arial"/>
                <w:color w:val="24313A"/>
                <w:sz w:val="16"/>
              </w:rPr>
              <w:t>Define POC acceptance tests</w:t>
            </w:r>
          </w:p>
        </w:tc>
        <w:tc>
          <w:tcPr>
            <w:tcW w:type="dxa" w:w="6624"/>
            <w:shd w:fill="F7F9FA"/>
            <w:tcMar>
              <w:top w:w="75" w:type="dxa"/>
              <w:start w:w="85" w:type="dxa"/>
              <w:bottom w:w="75" w:type="dxa"/>
              <w:end w:w="85" w:type="dxa"/>
            </w:tcMar>
            <w:vAlign w:val="top"/>
          </w:tcPr>
          <w:p>
            <w:r>
              <w:t>Require source citation, deterministic statutory transformation, decision-ledger completeness, browser-local privacy, deterministic math, risk-routing accuracy, scenario governance, perspective invariance, error sampling, traceability, accessibility, and reproducibility.</w:t>
            </w:r>
          </w:p>
        </w:tc>
      </w:tr>
      <w:tr>
        <w:tc>
          <w:tcPr>
            <w:tcW w:type="dxa" w:w="4939"/>
          </w:tcPr>
          <w:p>
            <w:r>
              <w:t>Prototype browser-local impact calculations</w:t>
            </w:r>
          </w:p>
        </w:tc>
        <w:tc>
          <w:tcPr>
            <w:tcW w:type="dxa" w:w="4939"/>
          </w:tcPr>
          <w:p>
            <w:r>
              <w:t>Implement no-transmission custom inputs, visible local-data clearing, isolated dependencies, and automated network-egress verification.</w:t>
            </w:r>
          </w:p>
        </w:tc>
      </w:tr>
    </w:tbl>
    <w:p>
      <w:pPr>
        <w:pStyle w:val="Heading2"/>
      </w:pPr>
      <w:r>
        <w:t>Appendix F — AI Decision Ledger schema excerpt</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9878"/>
      </w:tblGrid>
      <w:tr>
        <w:trPr>
          <w:tblHeader w:val="true"/>
          <w:cantSplit/>
        </w:trPr>
        <w:tc>
          <w:tcPr>
            <w:tcW w:type="dxa" w:w="9936"/>
            <w:vAlign w:val="top"/>
            <w:shd w:fill="17324D"/>
            <w:tcMar>
              <w:top w:w="90" w:type="dxa"/>
              <w:start w:w="90" w:type="dxa"/>
              <w:bottom w:w="90" w:type="dxa"/>
              <w:end w:w="90" w:type="dxa"/>
            </w:tcMar>
          </w:tcPr>
          <w:p>
            <w:pPr>
              <w:spacing w:after="0"/>
              <w:jc w:val="left"/>
            </w:pPr>
            <w:r/>
            <w:r>
              <w:rPr>
                <w:rFonts w:ascii="Arial" w:hAnsi="Arial"/>
                <w:b/>
                <w:color w:val="FFFFFF"/>
                <w:sz w:val="16"/>
              </w:rPr>
              <w:t>Example record</w:t>
            </w:r>
          </w:p>
        </w:tc>
      </w:tr>
      <w:tr>
        <w:trPr>
          <w:cantSplit/>
        </w:trPr>
        <w:tc>
          <w:tcPr>
            <w:tcW w:type="dxa" w:w="9936"/>
            <w:vAlign w:val="top"/>
            <w:tcMar>
              <w:top w:w="75" w:type="dxa"/>
              <w:start w:w="85" w:type="dxa"/>
              <w:bottom w:w="75" w:type="dxa"/>
              <w:end w:w="85" w:type="dxa"/>
            </w:tcMar>
          </w:tcPr>
          <w:p>
            <w:r>
              <w:t>ai_decision:</w:t>
              <w:br/>
              <w:t xml:space="preserve">  decision_id: "dec_01J..."</w:t>
              <w:br/>
              <w:t xml:space="preserve">  timestamp: "2026-07-22T17:42:16Z"</w:t>
              <w:br/>
              <w:t xml:space="preserve">  analysis_unit_id: "au_01J..."</w:t>
              <w:br/>
              <w:t xml:space="preserve">  decision_type: "narrow_eligibility_indicator"</w:t>
              <w:br/>
              <w:t xml:space="preserve">  model:</w:t>
              <w:br/>
              <w:t xml:space="preserve">    provider: "provider"</w:t>
              <w:br/>
              <w:t xml:space="preserve">    name: "model"</w:t>
              <w:br/>
              <w:t xml:space="preserve">    version: "exact-version"</w:t>
              <w:br/>
              <w:t xml:space="preserve">  prompt_template_version: "beneficiary-detector-v1.5"</w:t>
              <w:br/>
              <w:t xml:space="preserve">  source_snapshot_ids: ["source-7832", "source-7833"]</w:t>
              <w:br/>
              <w:t xml:space="preserve">  source_hashes: ["sha256:...", "sha256:..."]</w:t>
              <w:br/>
              <w:t xml:space="preserve">  baseline_id: "current-law-2017-11-01"</w:t>
              <w:br/>
              <w:t xml:space="preserve">  model_scenario_id: "canonical-base-v1"</w:t>
              <w:br/>
              <w:t xml:space="preserve">  perspective_id: null</w:t>
              <w:br/>
              <w:t xml:space="preserve">  structured_input_pointer: "restricted://input/dec_01J..."</w:t>
              <w:br/>
              <w:t xml:space="preserve">  input_storage_class: "restricted_pointer"</w:t>
              <w:br/>
              <w:t xml:space="preserve">  input_retention_days: 30</w:t>
              <w:br/>
              <w:t xml:space="preserve">  structured_output: {...}</w:t>
              <w:br/>
              <w:t xml:space="preserve">  calibrated_confidence: 0.82</w:t>
              <w:br/>
              <w:t xml:space="preserve">  model_disagreement: 0.18</w:t>
              <w:br/>
              <w:t xml:space="preserve">  validation_results:</w:t>
              <w:br/>
              <w:t xml:space="preserve">    schema_valid: true</w:t>
              <w:br/>
              <w:t xml:space="preserve">    citations_valid: true</w:t>
              <w:br/>
              <w:t xml:space="preserve">    statutory_transform_valid: true</w:t>
              <w:br/>
              <w:t xml:space="preserve">    calculation_valid: true</w:t>
              <w:br/>
              <w:t xml:space="preserve">    privacy_egress_valid: true</w:t>
              <w:br/>
              <w:t xml:space="preserve">    perspective_invariance_valid: true</w:t>
              <w:br/>
              <w:t xml:space="preserve">  risk_tier: 3</w:t>
              <w:br/>
              <w:t xml:space="preserve">  publication_lane: "provisional_analytical"</w:t>
              <w:br/>
              <w:t xml:space="preserve">  publication_state: "provisional_analysis"</w:t>
              <w:br/>
              <w:t xml:space="preserve">  human_review_required: false</w:t>
              <w:br/>
              <w:t xml:space="preserve">  review_triggers: []</w:t>
              <w:br/>
              <w:t xml:space="preserve">  disclosure_class: "public_summary"</w:t>
              <w:br/>
              <w:t xml:space="preserve">  redaction_reason: null</w:t>
              <w:br/>
              <w:t xml:space="preserve">  supersedes_decision_id: null</w:t>
            </w:r>
          </w:p>
        </w:tc>
      </w:tr>
    </w:tbl>
    <w:p>
      <w:pPr>
        <w:pStyle w:val="Heading2"/>
      </w:pPr>
      <w:r>
        <w:t>Appendix G — Model-scenario and perspective-profile schemas and invariance rules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9878"/>
      </w:tblGrid>
      <w:tr>
        <w:trPr>
          <w:tblHeader w:val="true"/>
          <w:cantSplit/>
        </w:trPr>
        <w:tc>
          <w:tcPr>
            <w:tcW w:type="dxa" w:w="9936"/>
            <w:vAlign w:val="top"/>
            <w:shd w:fill="17324D"/>
            <w:tcMar>
              <w:top w:w="90" w:type="dxa"/>
              <w:start w:w="90" w:type="dxa"/>
              <w:bottom w:w="90" w:type="dxa"/>
              <w:end w:w="90" w:type="dxa"/>
            </w:tcMar>
          </w:tcPr>
          <w:p>
            <w:r>
              <w:t>Schema examples</w:t>
            </w:r>
          </w:p>
        </w:tc>
      </w:tr>
      <w:tr>
        <w:tc>
          <w:tcPr>
            <w:tcW w:type="dxa" w:w="9878"/>
          </w:tcPr>
          <w:p>
            <w:r>
              <w:t>Example model scenario</w:t>
            </w:r>
          </w:p>
        </w:tc>
      </w:tr>
      <w:tr>
        <w:tc>
          <w:tcPr>
            <w:tcW w:type="dxa" w:w="9878"/>
          </w:tcPr>
          <w:p>
            <w:r>
              <w:t>model_scenario:</w:t>
              <w:br/>
              <w:t xml:space="preserve">  model_scenario_id: "canonical-base-v1"</w:t>
              <w:br/>
              <w:t xml:space="preserve">  name: "Canonical current-law base"</w:t>
              <w:br/>
              <w:t xml:space="preserve">  version: "1.0"</w:t>
              <w:br/>
              <w:t xml:space="preserve">  methods_owner: "The People’s Ledger methods group"</w:t>
              <w:br/>
              <w:t xml:space="preserve">  baseline_id: "current-law-2017-11-01"</w:t>
              <w:br/>
              <w:t xml:space="preserve">  data_vintage: "2017-11"</w:t>
              <w:br/>
              <w:t xml:space="preserve">  time_horizons: [1, 5, 10]</w:t>
              <w:br/>
              <w:t xml:space="preserve">  incidence_assumptions:</w:t>
              <w:br/>
              <w:t xml:space="preserve">    corporate_tax: {...}</w:t>
              <w:br/>
              <w:t xml:space="preserve">  behavioral_assumptions: {...}</w:t>
              <w:br/>
              <w:t xml:space="preserve">  discount_rate_policy: "official_or_published_method"</w:t>
              <w:br/>
              <w:t xml:space="preserve">  financing_treatment: "explicit"</w:t>
              <w:br/>
              <w:t xml:space="preserve">  uncertainty_method: "central_low_high"</w:t>
              <w:br/>
              <w:t xml:space="preserve">  approval_record: "methods-approval-001"</w:t>
              <w:br/>
              <w:t xml:space="preserve">  limitations: [...]</w:t>
            </w:r>
          </w:p>
        </w:tc>
      </w:tr>
      <w:tr>
        <w:tc>
          <w:tcPr>
            <w:tcW w:type="dxa" w:w="9878"/>
          </w:tcPr>
          <w:p>
            <w:r>
              <w:t>Example perspective profile</w:t>
            </w:r>
          </w:p>
        </w:tc>
      </w:tr>
      <w:tr>
        <w:tc>
          <w:tcPr>
            <w:tcW w:type="dxa" w:w="9878"/>
          </w:tcPr>
          <w:p>
            <w:r>
              <w:t>perspective_profile:</w:t>
              <w:br/>
              <w:t xml:space="preserve">  perspective_id: "fiscal-restraint-v2"</w:t>
              <w:br/>
              <w:t xml:space="preserve">  name: "Fiscal Restraint"</w:t>
              <w:br/>
              <w:t xml:space="preserve">  version: "2.0"</w:t>
              <w:br/>
              <w:t xml:space="preserve">  author: "The People’s Ledger methods group"</w:t>
              <w:br/>
              <w:t xml:space="preserve">  source_documents: [...]</w:t>
              <w:br/>
              <w:t xml:space="preserve">  priorities:</w:t>
              <w:br/>
              <w:t xml:space="preserve">    ten_year_deficit_effect: 1.0</w:t>
              <w:br/>
              <w:t xml:space="preserve">    long_term_debt_effect: 0.9</w:t>
              <w:br/>
              <w:t xml:space="preserve">    administrative_cost: 0.5</w:t>
              <w:br/>
              <w:t xml:space="preserve">    economic_growth: 0.4</w:t>
              <w:br/>
              <w:t xml:space="preserve">    distributional_equity: 0.2</w:t>
              <w:br/>
              <w:t xml:space="preserve">  interpretive_questions: [...]</w:t>
              <w:br/>
              <w:t xml:space="preserve">  reporting_emphasis:</w:t>
              <w:br/>
              <w:t xml:space="preserve">    preferred_horizons: [5, 10, 30]</w:t>
              <w:br/>
              <w:t xml:space="preserve">  permitted_model_scenarios:</w:t>
              <w:br/>
              <w:t xml:space="preserve">    - "canonical-base-v1"</w:t>
              <w:br/>
              <w:t xml:space="preserve">    - "approved-sensitivity-v1"</w:t>
              <w:br/>
              <w:t xml:space="preserve">  hard_constraints:</w:t>
              <w:br/>
              <w:t xml:space="preserve">    - "Do not alter common evidence"</w:t>
              <w:br/>
              <w:t xml:space="preserve">    - "Do not alter statutory transformations"</w:t>
              <w:br/>
              <w:t xml:space="preserve">    - "Do not alter model-scenario parameters"</w:t>
              <w:br/>
              <w:t xml:space="preserve">    - "Do not suppress material counterevidence"</w:t>
              <w:br/>
              <w:t xml:space="preserve">  limitations: [...]</w:t>
            </w:r>
          </w:p>
        </w:tc>
      </w:tr>
    </w:tbl>
    <w:p>
      <w:pPr>
        <w:pStyle w:val="Heading2"/>
      </w:pPr>
      <w:r>
        <w:t>Required invariance tests</w:t>
      </w:r>
    </w:p>
    <w:p>
      <w:pPr>
        <w:pStyle w:val="ListBullet"/>
      </w:pPr>
      <w:r>
        <w:t>Exact legislative text, document identity, dates, amounts, source spans, deterministic statutory transformations, and factual change records remain byte- or field-equivalent across perspective profiles.</w:t>
      </w:r>
    </w:p>
    <w:p>
      <w:pPr>
        <w:pStyle w:val="ListBullet"/>
      </w:pPr>
      <w:r>
        <w:t>Deterministic calculations and the canonical base-scenario outputs remain unchanged across perspective profiles. Alternative technical scenarios are separately named and methods-governed; a profile may display or compare them but cannot alter their parameters.</w:t>
      </w:r>
    </w:p>
    <w:p>
      <w:pPr>
        <w:pStyle w:val="ListBullet"/>
      </w:pPr>
      <w:r>
        <w:t>Material counterevidence, uncertainty, and model disagreement remain available in every perspective view.</w:t>
      </w:r>
    </w:p>
    <w:p>
      <w:pPr>
        <w:pStyle w:val="ListBullet"/>
      </w:pPr>
      <w:r>
        <w:t>Every displayed assessment identifies profile version, author, sources, value priorities, reporting emphasis, permitted model-scenario references, and limitations. Every technical output separately identifies model_scenario_id and its governed assumptions.</w:t>
      </w:r>
    </w:p>
    <w:p>
      <w:pPr>
        <w:pStyle w:val="Heading2"/>
      </w:pPr>
      <w:r>
        <w:t>Appendix H — POC exemplar and acceptance criteria</w:t>
      </w:r>
    </w:p>
    <w:p>
      <w:r>
        <w:t>Recommended historical source: the Tax Cuts and Jobs Act of 2017, limited to approximately 8–12 representative provisions such as individual brackets, standard deduction and exemptions, Child Tax Credit, SALT limitation, Qualified Business Income deduction, corporate rate, bonus depreciation, estate-tax exemption, selected international rules, sunsets, transition rules, and interaction cases.</w:t>
      </w:r>
    </w:p>
    <w:tbl>
      <w:tblPr>
        <w:tblW w:type="auto" w:w="0"/>
        <w:jc w:val="center"/>
        <w:tblLayout w:type="fixed"/>
        <w:tblLook w:firstColumn="1" w:firstRow="1" w:lastColumn="0" w:lastRow="0" w:noHBand="0" w:noVBand="1" w:val="04A0"/>
        <w:tblBorders>
          <w:top w:val="single" w:sz="6" w:space="0" w:color="D5DCE2"/>
          <w:left w:val="single" w:sz="6" w:space="0" w:color="D5DCE2"/>
          <w:bottom w:val="single" w:sz="6" w:space="0" w:color="D5DCE2"/>
          <w:right w:val="single" w:sz="6" w:space="0" w:color="D5DCE2"/>
          <w:insideH w:val="single" w:sz="6" w:space="0" w:color="D5DCE2"/>
          <w:insideV w:val="single" w:sz="6" w:space="0" w:color="D5DCE2"/>
        </w:tblBorders>
      </w:tblPr>
      <w:tblGrid>
        <w:gridCol w:w="4939"/>
        <w:gridCol w:w="4939"/>
      </w:tblGrid>
      <w:tr>
        <w:trPr>
          <w:tblHeader w:val="true"/>
          <w:cantSplit/>
        </w:trPr>
        <w:tc>
          <w:tcPr>
            <w:tcW w:type="dxa" w:w="2088"/>
            <w:vAlign w:val="top"/>
            <w:shd w:fill="17324D"/>
            <w:tcMar>
              <w:top w:w="90" w:type="dxa"/>
              <w:start w:w="90" w:type="dxa"/>
              <w:bottom w:w="90" w:type="dxa"/>
              <w:end w:w="90" w:type="dxa"/>
            </w:tcMar>
          </w:tcPr>
          <w:p>
            <w:pPr>
              <w:spacing w:after="0"/>
              <w:jc w:val="left"/>
            </w:pPr>
            <w:r/>
            <w:r>
              <w:rPr>
                <w:rFonts w:ascii="Arial" w:hAnsi="Arial"/>
                <w:b/>
                <w:color w:val="FFFFFF"/>
                <w:sz w:val="16"/>
              </w:rPr>
              <w:t>Acceptance area</w:t>
            </w:r>
          </w:p>
        </w:tc>
        <w:tc>
          <w:tcPr>
            <w:tcW w:type="dxa" w:w="7920"/>
            <w:vAlign w:val="top"/>
            <w:shd w:fill="17324D"/>
            <w:tcMar>
              <w:top w:w="90" w:type="dxa"/>
              <w:start w:w="90" w:type="dxa"/>
              <w:bottom w:w="90" w:type="dxa"/>
              <w:end w:w="90" w:type="dxa"/>
            </w:tcMar>
          </w:tcPr>
          <w:p>
            <w:pPr>
              <w:spacing w:after="0"/>
              <w:jc w:val="left"/>
            </w:pPr>
            <w:r/>
            <w:r>
              <w:rPr>
                <w:rFonts w:ascii="Arial" w:hAnsi="Arial"/>
                <w:b/>
                <w:color w:val="FFFFFF"/>
                <w:sz w:val="16"/>
              </w:rPr>
              <w:t>POC requirement</w:t>
            </w:r>
          </w:p>
        </w:tc>
      </w:tr>
      <w:tr>
        <w:trPr>
          <w:cantSplit/>
        </w:trPr>
        <w:tc>
          <w:tcPr>
            <w:tcW w:type="dxa" w:w="2088"/>
            <w:vAlign w:val="top"/>
            <w:tcMar>
              <w:top w:w="75" w:type="dxa"/>
              <w:start w:w="85" w:type="dxa"/>
              <w:bottom w:w="75" w:type="dxa"/>
              <w:end w:w="85" w:type="dxa"/>
            </w:tcMar>
          </w:tcPr>
          <w:p>
            <w:pPr>
              <w:spacing w:after="0"/>
              <w:jc w:val="left"/>
            </w:pPr>
            <w:r/>
            <w:r>
              <w:rPr>
                <w:rFonts w:ascii="Arial" w:hAnsi="Arial"/>
                <w:b w:val="0"/>
                <w:color w:val="24313A"/>
                <w:sz w:val="16"/>
              </w:rPr>
              <w:t>Evidence</w:t>
            </w:r>
          </w:p>
        </w:tc>
        <w:tc>
          <w:tcPr>
            <w:tcW w:type="dxa" w:w="7920"/>
            <w:vAlign w:val="top"/>
            <w:tcMar>
              <w:top w:w="75" w:type="dxa"/>
              <w:start w:w="85" w:type="dxa"/>
              <w:bottom w:w="75" w:type="dxa"/>
              <w:end w:w="85" w:type="dxa"/>
            </w:tcMar>
          </w:tcPr>
          <w:p>
            <w:pPr>
              <w:spacing w:after="0"/>
              <w:jc w:val="left"/>
            </w:pPr>
            <w:r/>
            <w:r>
              <w:rPr>
                <w:rFonts w:ascii="Arial" w:hAnsi="Arial"/>
                <w:b w:val="0"/>
                <w:color w:val="24313A"/>
                <w:sz w:val="16"/>
              </w:rPr>
              <w:t>100% of public factual claims cite authoritative source spans and source snapshots.</w:t>
            </w:r>
          </w:p>
        </w:tc>
      </w:tr>
      <w:tr>
        <w:trPr>
          <w:cantSplit/>
        </w:trPr>
        <w:tc>
          <w:tcPr>
            <w:tcW w:type="dxa" w:w="2088"/>
            <w:vAlign w:val="top"/>
            <w:tcMar>
              <w:top w:w="75" w:type="dxa"/>
              <w:start w:w="85" w:type="dxa"/>
              <w:bottom w:w="75" w:type="dxa"/>
              <w:end w:w="85" w:type="dxa"/>
            </w:tcMar>
            <w:shd w:fill="F7F9FA"/>
          </w:tcPr>
          <w:p>
            <w:pPr>
              <w:spacing w:after="0"/>
              <w:jc w:val="left"/>
            </w:pPr>
            <w:r/>
            <w:r>
              <w:rPr>
                <w:rFonts w:ascii="Arial" w:hAnsi="Arial"/>
                <w:b w:val="0"/>
                <w:color w:val="24313A"/>
                <w:sz w:val="16"/>
              </w:rPr>
              <w:t>Decision provenance</w:t>
            </w:r>
          </w:p>
        </w:tc>
        <w:tc>
          <w:tcPr>
            <w:tcW w:type="dxa" w:w="7920"/>
            <w:vAlign w:val="top"/>
            <w:tcMar>
              <w:top w:w="75" w:type="dxa"/>
              <w:start w:w="85" w:type="dxa"/>
              <w:bottom w:w="75" w:type="dxa"/>
              <w:end w:w="85" w:type="dxa"/>
            </w:tcMar>
            <w:shd w:fill="F7F9FA"/>
          </w:tcPr>
          <w:p>
            <w:r>
              <w:t>100% of material AI decisions have complete tamper-evident ledger records with model_scenario_id, retention, disclosure, redaction, and supersession controls.</w:t>
            </w:r>
          </w:p>
        </w:tc>
      </w:tr>
      <w:tr>
        <w:trPr>
          <w:cantSplit/>
        </w:trPr>
        <w:tc>
          <w:tcPr>
            <w:tcW w:type="dxa" w:w="2088"/>
            <w:vAlign w:val="top"/>
            <w:tcMar>
              <w:top w:w="75" w:type="dxa"/>
              <w:start w:w="85" w:type="dxa"/>
              <w:bottom w:w="75" w:type="dxa"/>
              <w:end w:w="85" w:type="dxa"/>
            </w:tcMar>
          </w:tcPr>
          <w:p>
            <w:pPr>
              <w:spacing w:after="0"/>
              <w:jc w:val="left"/>
            </w:pPr>
            <w:r/>
            <w:r>
              <w:rPr>
                <w:rFonts w:ascii="Arial" w:hAnsi="Arial"/>
                <w:b w:val="0"/>
                <w:color w:val="24313A"/>
                <w:sz w:val="16"/>
              </w:rPr>
              <w:t>Calculations</w:t>
            </w:r>
          </w:p>
        </w:tc>
        <w:tc>
          <w:tcPr>
            <w:tcW w:type="dxa" w:w="7920"/>
            <w:vAlign w:val="top"/>
            <w:tcMar>
              <w:top w:w="75" w:type="dxa"/>
              <w:start w:w="85" w:type="dxa"/>
              <w:bottom w:w="75" w:type="dxa"/>
              <w:end w:w="85" w:type="dxa"/>
            </w:tcMar>
          </w:tcPr>
          <w:p>
            <w:r>
              <w:t>No authoritative arithmetic or statutory transformation is performed solely by an LLM; deterministic results pass operation, unit, regression, round-trip, and reconciliation tests.</w:t>
            </w:r>
          </w:p>
        </w:tc>
      </w:tr>
      <w:tr>
        <w:trPr>
          <w:cantSplit/>
        </w:trPr>
        <w:tc>
          <w:tcPr>
            <w:tcW w:type="dxa" w:w="2088"/>
            <w:vAlign w:val="top"/>
            <w:tcMar>
              <w:top w:w="75" w:type="dxa"/>
              <w:start w:w="85" w:type="dxa"/>
              <w:bottom w:w="75" w:type="dxa"/>
              <w:end w:w="85" w:type="dxa"/>
            </w:tcMar>
            <w:shd w:fill="F7F9FA"/>
          </w:tcPr>
          <w:p>
            <w:pPr>
              <w:spacing w:after="0"/>
              <w:jc w:val="left"/>
            </w:pPr>
            <w:r/>
            <w:r>
              <w:rPr>
                <w:rFonts w:ascii="Arial" w:hAnsi="Arial"/>
                <w:b w:val="0"/>
                <w:color w:val="24313A"/>
                <w:sz w:val="16"/>
              </w:rPr>
              <w:t>Automation</w:t>
            </w:r>
          </w:p>
        </w:tc>
        <w:tc>
          <w:tcPr>
            <w:tcW w:type="dxa" w:w="7920"/>
            <w:vAlign w:val="top"/>
            <w:tcMar>
              <w:top w:w="75" w:type="dxa"/>
              <w:start w:w="85" w:type="dxa"/>
              <w:bottom w:w="75" w:type="dxa"/>
              <w:end w:w="85" w:type="dxa"/>
            </w:tcMar>
            <w:shd w:fill="F7F9FA"/>
          </w:tcPr>
          <w:p>
            <w:pPr>
              <w:spacing w:after="0"/>
              <w:jc w:val="left"/>
            </w:pPr>
            <w:r/>
            <w:r>
              <w:rPr>
                <w:rFonts w:ascii="Arial" w:hAnsi="Arial"/>
                <w:b w:val="0"/>
                <w:color w:val="24313A"/>
                <w:sz w:val="16"/>
              </w:rPr>
              <w:t>Routine human review is approximately 10–20% or less, with all high-risk triggers reviewed and random samples completed.</w:t>
            </w:r>
          </w:p>
        </w:tc>
      </w:tr>
      <w:tr>
        <w:trPr>
          <w:cantSplit/>
        </w:trPr>
        <w:tc>
          <w:tcPr>
            <w:tcW w:type="dxa" w:w="2088"/>
            <w:vAlign w:val="top"/>
            <w:tcMar>
              <w:top w:w="75" w:type="dxa"/>
              <w:start w:w="85" w:type="dxa"/>
              <w:bottom w:w="75" w:type="dxa"/>
              <w:end w:w="85" w:type="dxa"/>
            </w:tcMar>
          </w:tcPr>
          <w:p>
            <w:pPr>
              <w:spacing w:after="0"/>
              <w:jc w:val="left"/>
            </w:pPr>
            <w:r/>
            <w:r>
              <w:rPr>
                <w:rFonts w:ascii="Arial" w:hAnsi="Arial"/>
                <w:b w:val="0"/>
                <w:color w:val="24313A"/>
                <w:sz w:val="16"/>
              </w:rPr>
              <w:t>Quality measurement</w:t>
            </w:r>
          </w:p>
        </w:tc>
        <w:tc>
          <w:tcPr>
            <w:tcW w:type="dxa" w:w="7920"/>
            <w:vAlign w:val="top"/>
            <w:tcMar>
              <w:top w:w="75" w:type="dxa"/>
              <w:start w:w="85" w:type="dxa"/>
              <w:bottom w:w="75" w:type="dxa"/>
              <w:end w:w="85" w:type="dxa"/>
            </w:tcMar>
          </w:tcPr>
          <w:p>
            <w:pPr>
              <w:spacing w:after="0"/>
              <w:jc w:val="left"/>
            </w:pPr>
            <w:r/>
            <w:r>
              <w:rPr>
                <w:rFonts w:ascii="Arial" w:hAnsi="Arial"/>
                <w:b w:val="0"/>
                <w:color w:val="24313A"/>
                <w:sz w:val="16"/>
              </w:rPr>
              <w:t>False-negative, correction, escalation, disagreement, and sampled-error rates are reported.</w:t>
            </w:r>
          </w:p>
        </w:tc>
      </w:tr>
      <w:tr>
        <w:trPr>
          <w:cantSplit/>
        </w:trPr>
        <w:tc>
          <w:tcPr>
            <w:tcW w:type="dxa" w:w="2088"/>
            <w:vAlign w:val="top"/>
            <w:tcMar>
              <w:top w:w="75" w:type="dxa"/>
              <w:start w:w="85" w:type="dxa"/>
              <w:bottom w:w="75" w:type="dxa"/>
              <w:end w:w="85" w:type="dxa"/>
            </w:tcMar>
            <w:shd w:fill="F7F9FA"/>
          </w:tcPr>
          <w:p>
            <w:pPr>
              <w:spacing w:after="0"/>
              <w:jc w:val="left"/>
            </w:pPr>
            <w:r/>
            <w:r>
              <w:rPr>
                <w:rFonts w:ascii="Arial" w:hAnsi="Arial"/>
                <w:b w:val="0"/>
                <w:color w:val="24313A"/>
                <w:sz w:val="16"/>
              </w:rPr>
              <w:t>Perspective integrity</w:t>
            </w:r>
          </w:p>
        </w:tc>
        <w:tc>
          <w:tcPr>
            <w:tcW w:type="dxa" w:w="7920"/>
            <w:vAlign w:val="top"/>
            <w:tcMar>
              <w:top w:w="75" w:type="dxa"/>
              <w:start w:w="85" w:type="dxa"/>
              <w:bottom w:w="75" w:type="dxa"/>
              <w:end w:w="85" w:type="dxa"/>
            </w:tcMar>
            <w:shd w:fill="F7F9FA"/>
          </w:tcPr>
          <w:p>
            <w:r>
              <w:t>At least three profiles display side by side and pass evidence, statutory-transformation, canonical-calculation, model-scenario-definition, and counterevidence invariance tests.</w:t>
            </w:r>
          </w:p>
        </w:tc>
      </w:tr>
      <w:tr>
        <w:trPr>
          <w:cantSplit/>
        </w:trPr>
        <w:tc>
          <w:tcPr>
            <w:tcW w:type="dxa" w:w="2088"/>
            <w:vAlign w:val="top"/>
            <w:tcMar>
              <w:top w:w="75" w:type="dxa"/>
              <w:start w:w="85" w:type="dxa"/>
              <w:bottom w:w="75" w:type="dxa"/>
              <w:end w:w="85" w:type="dxa"/>
            </w:tcMar>
          </w:tcPr>
          <w:p>
            <w:pPr>
              <w:spacing w:after="0"/>
              <w:jc w:val="left"/>
            </w:pPr>
            <w:r/>
            <w:r>
              <w:rPr>
                <w:rFonts w:ascii="Arial" w:hAnsi="Arial"/>
                <w:b w:val="0"/>
                <w:color w:val="24313A"/>
                <w:sz w:val="16"/>
              </w:rPr>
              <w:t>Corrections</w:t>
            </w:r>
          </w:p>
        </w:tc>
        <w:tc>
          <w:tcPr>
            <w:tcW w:type="dxa" w:w="7920"/>
            <w:vAlign w:val="top"/>
            <w:tcMar>
              <w:top w:w="75" w:type="dxa"/>
              <w:start w:w="85" w:type="dxa"/>
              <w:bottom w:w="75" w:type="dxa"/>
              <w:end w:w="85" w:type="dxa"/>
            </w:tcMar>
          </w:tcPr>
          <w:p>
            <w:pPr>
              <w:spacing w:after="0"/>
              <w:jc w:val="left"/>
            </w:pPr>
            <w:r/>
            <w:r>
              <w:rPr>
                <w:rFonts w:ascii="Arial" w:hAnsi="Arial"/>
                <w:b w:val="0"/>
                <w:color w:val="24313A"/>
                <w:sz w:val="16"/>
              </w:rPr>
              <w:t>Every correction preserves the prior output, root cause, affected decisions, and a new or updated regression test.</w:t>
            </w:r>
          </w:p>
        </w:tc>
      </w:tr>
      <w:tr>
        <w:trPr>
          <w:cantSplit/>
        </w:trPr>
        <w:tc>
          <w:tcPr>
            <w:tcW w:type="dxa" w:w="2088"/>
            <w:vAlign w:val="top"/>
            <w:tcMar>
              <w:top w:w="75" w:type="dxa"/>
              <w:start w:w="85" w:type="dxa"/>
              <w:bottom w:w="75" w:type="dxa"/>
              <w:end w:w="85" w:type="dxa"/>
            </w:tcMar>
            <w:shd w:fill="F7F9FA"/>
          </w:tcPr>
          <w:p>
            <w:pPr>
              <w:spacing w:after="0"/>
              <w:jc w:val="left"/>
            </w:pPr>
            <w:r/>
            <w:r>
              <w:rPr>
                <w:rFonts w:ascii="Arial" w:hAnsi="Arial"/>
                <w:b w:val="0"/>
                <w:color w:val="24313A"/>
                <w:sz w:val="16"/>
              </w:rPr>
              <w:t>Public clarity</w:t>
            </w:r>
          </w:p>
        </w:tc>
        <w:tc>
          <w:tcPr>
            <w:tcW w:type="dxa" w:w="7920"/>
            <w:vAlign w:val="top"/>
            <w:tcMar>
              <w:top w:w="75" w:type="dxa"/>
              <w:start w:w="85" w:type="dxa"/>
              <w:bottom w:w="75" w:type="dxa"/>
              <w:end w:w="85" w:type="dxa"/>
            </w:tcMar>
            <w:shd w:fill="F7F9FA"/>
          </w:tcPr>
          <w:p>
            <w:pPr>
              <w:spacing w:after="0"/>
              <w:jc w:val="left"/>
            </w:pPr>
            <w:r/>
            <w:r>
              <w:rPr>
                <w:rFonts w:ascii="Arial" w:hAnsi="Arial"/>
                <w:b w:val="0"/>
                <w:color w:val="24313A"/>
                <w:sz w:val="16"/>
              </w:rPr>
              <w:t>Users can distinguish fact, estimate, flag, finding, opinion, publication state, baseline, and perspective.</w:t>
            </w:r>
          </w:p>
        </w:tc>
      </w:tr>
      <w:tr>
        <w:tc>
          <w:tcPr>
            <w:tcW w:type="dxa" w:w="4939"/>
          </w:tcPr>
          <w:p>
            <w:r>
              <w:t>Household privacy</w:t>
            </w:r>
          </w:p>
        </w:tc>
        <w:tc>
          <w:tcPr>
            <w:tcW w:type="dxa" w:w="4939"/>
          </w:tcPr>
          <w:p>
            <w:r>
              <w:t>Custom household inputs execute locally; automated tests show no values in network requests, server logs, analytics, crash reports, replay tools, or third-party script access.</w:t>
            </w:r>
          </w:p>
        </w:tc>
      </w:tr>
      <w:tr>
        <w:tc>
          <w:tcPr>
            <w:tcW w:type="dxa" w:w="4939"/>
          </w:tcPr>
          <w:p>
            <w:r>
              <w:t>Statutory transformation</w:t>
            </w:r>
          </w:p>
        </w:tc>
        <w:tc>
          <w:tcPr>
            <w:tcW w:type="dxa" w:w="4939"/>
          </w:tcPr>
          <w:p>
            <w:r>
              <w:t>Supported amendment operations are deterministic and traceable; ambiguous operations abstain and escalate; available authoritative post-enactment text reconciles through round-trip tests.</w:t>
            </w:r>
          </w:p>
        </w:tc>
      </w:tr>
      <w:tr>
        <w:tc>
          <w:tcPr>
            <w:tcW w:type="dxa" w:w="4939"/>
          </w:tcPr>
          <w:p>
            <w:r>
              <w:t>Scenario governance</w:t>
            </w:r>
          </w:p>
        </w:tc>
        <w:tc>
          <w:tcPr>
            <w:tcW w:type="dxa" w:w="4939"/>
          </w:tcPr>
          <w:p>
            <w:r>
              <w:t>Every technical output identifies a canonical or approved alternative model_scenario_id; perspectives cannot create or modify technical parameters.</w:t>
            </w:r>
          </w:p>
        </w:tc>
      </w:tr>
    </w:tbl>
    <w:p>
      <w:pPr>
        <w:spacing w:before="360"/>
        <w:jc w:val="center"/>
      </w:pPr>
      <w:r>
        <w:t>End of foundational design — Version 0.3</w:t>
      </w:r>
    </w:p>
    <w:p>
      <w:pPr>
        <w:jc w:val="center"/>
      </w:pPr>
      <w:r>
        <w:t>This document is designed to be refined through prototype evidence, measured automation quality, expert challenge, governed model scenarios, transparent perspective governance, privacy-by-architecture, and public-interest oversight.</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752"/>
      <w:gridCol w:w="4752"/>
    </w:tblGrid>
    <w:tr>
      <w:trPr>
        <w:tblHeader w:val="true"/>
      </w:trPr>
      <w:tc>
        <w:tcPr>
          <w:tcW w:type="dxa" w:w="4752"/>
          <w:tcMar>
            <w:top w:w="0" w:type="dxa"/>
            <w:start w:w="0" w:type="dxa"/>
            <w:bottom w:w="0" w:type="dxa"/>
            <w:end w:w="0" w:type="dxa"/>
          </w:tcMar>
        </w:tcPr>
        <w:p>
          <w:pPr>
            <w:jc w:val="left"/>
          </w:pPr>
          <w:r>
            <w:rPr>
              <w:rFonts w:ascii="Arial" w:hAnsi="Arial"/>
              <w:color w:val="697784"/>
              <w:sz w:val="14"/>
            </w:rPr>
            <w:t>Concept foundation • Version 0.3 • July 22, 2026</w:t>
          </w:r>
        </w:p>
      </w:tc>
      <w:tc>
        <w:tcPr>
          <w:tcW w:type="dxa" w:w="4752"/>
          <w:tcMar>
            <w:top w:w="0" w:type="dxa"/>
            <w:start w:w="0" w:type="dxa"/>
            <w:bottom w:w="0" w:type="dxa"/>
            <w:end w:w="0" w:type="dxa"/>
          </w:tcMar>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97784"/>
        <w:sz w:val="15"/>
      </w:rPr>
      <w:t>THE PEOPLE’S LEDGER  |  FOUNDATIONAL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B6F9F"/>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2A8C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6977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504" w:right="504"/>
    </w:pPr>
    <w:rPr>
      <w:rFonts w:ascii="Georgia" w:hAnsi="Georgia"/>
      <w:i/>
      <w:iCs/>
      <w:color w:val="17324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ead">
    <w:name w:val="Executive Lead"/>
    <w:pPr>
      <w:spacing w:after="240" w:line="269" w:lineRule="auto"/>
    </w:pPr>
    <w:rPr>
      <w:rFonts w:ascii="Georgia" w:hAnsi="Georgia"/>
      <w:color w:val="17324D"/>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api.congress.gov/" TargetMode="External"/><Relationship Id="rId15" Type="http://schemas.openxmlformats.org/officeDocument/2006/relationships/hyperlink" Target="https://www.govinfo.gov/developers" TargetMode="External"/><Relationship Id="rId16" Type="http://schemas.openxmlformats.org/officeDocument/2006/relationships/hyperlink" Target="https://www.govinfo.gov/help/bills" TargetMode="External"/><Relationship Id="rId17" Type="http://schemas.openxmlformats.org/officeDocument/2006/relationships/hyperlink" Target="https://www.cbo.gov/cost-estimates" TargetMode="External"/><Relationship Id="rId18" Type="http://schemas.openxmlformats.org/officeDocument/2006/relationships/hyperlink" Target="https://www.cbo.gov/publication/59084" TargetMode="External"/><Relationship Id="rId19" Type="http://schemas.openxmlformats.org/officeDocument/2006/relationships/hyperlink" Target="https://www.cbo.gov/publication/61205" TargetMode="External"/><Relationship Id="rId20" Type="http://schemas.openxmlformats.org/officeDocument/2006/relationships/hyperlink" Target="https://www.jct.gov/operations/revenue-estimating/" TargetMode="External"/><Relationship Id="rId21" Type="http://schemas.openxmlformats.org/officeDocument/2006/relationships/hyperlink" Target="https://www.irs.gov/statistics/soi-tax-stats-individual-public-use-microdata-files" TargetMode="External"/><Relationship Id="rId22" Type="http://schemas.openxmlformats.org/officeDocument/2006/relationships/hyperlink" Target="https://www.census.gov/data/developers/data-sets/Poverty-Statistics.html" TargetMode="External"/><Relationship Id="rId23" Type="http://schemas.openxmlformats.org/officeDocument/2006/relationships/hyperlink" Target="https://www.federalregister.gov/developers/documentation/api/v1" TargetMode="External"/><Relationship Id="rId24" Type="http://schemas.openxmlformats.org/officeDocument/2006/relationships/hyperlink" Target="https://api.usaspending.gov/" TargetMode="External"/><Relationship Id="rId25" Type="http://schemas.openxmlformats.org/officeDocument/2006/relationships/hyperlink" Target="https://lda.senate.gov/api/" TargetMode="External"/><Relationship Id="rId26" Type="http://schemas.openxmlformats.org/officeDocument/2006/relationships/hyperlink" Target="https://api.open.fec.gov/developers/" TargetMode="External"/><Relationship Id="rId27" Type="http://schemas.openxmlformats.org/officeDocument/2006/relationships/hyperlink" Target="https://open.gsa.gov/api/regulationsgov/" TargetMode="External"/><Relationship Id="rId28" Type="http://schemas.openxmlformats.org/officeDocument/2006/relationships/hyperlink" Target="https://www.nist.gov/itl/ai-risk-management-framework" TargetMode="External"/><Relationship Id="rId29" Type="http://schemas.openxmlformats.org/officeDocument/2006/relationships/hyperlink" Target="https://www.gao.gov/products/gao-20-283g" TargetMode="External"/><Relationship Id="rId30" Type="http://schemas.openxmlformats.org/officeDocument/2006/relationships/hyperlink" Target="https://www.gao.gov/greenbook" TargetMode="External"/><Relationship Id="rId31" Type="http://schemas.openxmlformats.org/officeDocument/2006/relationships/hyperlink" Target="https://www.sec.gov/search-filings/edgar-application-programming-interfaces" TargetMode="External"/><Relationship Id="rId32" Type="http://schemas.openxmlformats.org/officeDocument/2006/relationships/hyperlink" Target="https://fpi.omb.gov/about/fpi" TargetMode="External"/><Relationship Id="rId3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People's Ledger - Foundational Product and System Design v0.3</dc:title>
  <dc:subject>Evidence-first federal legislative impact analysis platform</dc:subject>
  <dc:creator>OpenAI, prepared for Dave Weilert</dc:creator>
  <cp:keywords>civic technology, federal legislation, tax distribution, public benefits, transparency, bill comparison, narrow-benefit detection, AI decision ledger, perspective analysis</cp:keywords>
  <dc:description>Version 0.3 incorporates governed model scenarios, privacy-by-architecture, hybrid deterministic/AI statutory transformation, neutral public indicators, and safer AI decision provenance. Licensing and IP decisions are deferred.</dc:description>
  <cp:lastModifiedBy/>
  <cp:revision>3</cp:revision>
  <dcterms:created xsi:type="dcterms:W3CDTF">2013-12-23T23:15:00Z</dcterms:created>
  <dcterms:modified xsi:type="dcterms:W3CDTF">2013-12-23T23:15:00Z</dcterms:modified>
  <cp:category/>
  <cp:version>0.3</cp:version>
</cp:coreProperties>
</file>