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w:t>
      </w:r>
      <w:r>
        <w:t xml:space="preserve"> </w:t>
      </w:r>
      <w:r>
        <w:t xml:space="preserve">Marginal</w:t>
      </w:r>
      <w:r>
        <w:t xml:space="preserve"> </w:t>
      </w:r>
      <w:r>
        <w:t xml:space="preserve">Effective</w:t>
      </w:r>
      <w:r>
        <w:t xml:space="preserve"> </w:t>
      </w:r>
      <w:r>
        <w:t xml:space="preserve">Tax</w:t>
      </w:r>
      <w:r>
        <w:t xml:space="preserve"> </w:t>
      </w:r>
      <w:r>
        <w:t xml:space="preserve">Rates</w:t>
      </w:r>
      <w:r>
        <w:t xml:space="preserve"> </w:t>
      </w:r>
      <w:r>
        <w:t xml:space="preserve">on</w:t>
      </w:r>
      <w:r>
        <w:t xml:space="preserve"> </w:t>
      </w:r>
      <w:r>
        <w:t xml:space="preserve">Marginal</w:t>
      </w:r>
      <w:r>
        <w:t xml:space="preserve"> </w:t>
      </w:r>
      <w:r>
        <w:t xml:space="preserve">Investment</w:t>
      </w:r>
    </w:p>
    <w:p>
      <w:pPr>
        <w:pStyle w:val="Subtitle"/>
      </w:pPr>
      <w:r>
        <w:t xml:space="preserve">Industry-Level</w:t>
      </w:r>
      <w:r>
        <w:t xml:space="preserve"> </w:t>
      </w:r>
      <w:r>
        <w:t xml:space="preserve">and</w:t>
      </w:r>
      <w:r>
        <w:t xml:space="preserve"> </w:t>
      </w:r>
      <w:r>
        <w:t xml:space="preserve">Economy-Wide</w:t>
      </w:r>
      <w:r>
        <w:t xml:space="preserve"> </w:t>
      </w:r>
      <w:r>
        <w:t xml:space="preserve">Estimates,</w:t>
      </w:r>
      <w:r>
        <w:t xml:space="preserve"> </w:t>
      </w:r>
      <w:r>
        <w:t xml:space="preserve">and</w:t>
      </w:r>
      <w:r>
        <w:t xml:space="preserve"> </w:t>
      </w:r>
      <w:r>
        <w:t xml:space="preserve">a</w:t>
      </w:r>
      <w:r>
        <w:t xml:space="preserve"> </w:t>
      </w:r>
      <w:r>
        <w:t xml:space="preserve">Comparison</w:t>
      </w:r>
      <w:r>
        <w:t xml:space="preserve"> </w:t>
      </w:r>
      <w:r>
        <w:t xml:space="preserve">of</w:t>
      </w:r>
      <w:r>
        <w:t xml:space="preserve"> </w:t>
      </w:r>
      <w:r>
        <w:t xml:space="preserve">Pre-TCJA</w:t>
      </w:r>
      <w:r>
        <w:t xml:space="preserve"> </w:t>
      </w:r>
      <w:r>
        <w:t xml:space="preserve">and</w:t>
      </w:r>
      <w:r>
        <w:t xml:space="preserve"> </w:t>
      </w:r>
      <w:r>
        <w:t xml:space="preserve">Post-OBBBA</w:t>
      </w:r>
      <w:r>
        <w:t xml:space="preserve"> </w:t>
      </w:r>
      <w:r>
        <w:t xml:space="preserve">Law</w:t>
      </w:r>
    </w:p>
    <w:p>
      <w:pPr>
        <w:pStyle w:val="Author"/>
      </w:pPr>
      <w:r>
        <w:t xml:space="preserve">Methodology</w:t>
      </w:r>
      <w:r>
        <w:t xml:space="preserve"> </w:t>
      </w:r>
      <w:r>
        <w:t xml:space="preserve">note</w:t>
      </w:r>
    </w:p>
    <w:bookmarkStart w:id="20" w:name="overview"/>
    <w:p>
      <w:pPr>
        <w:pStyle w:val="Heading1"/>
      </w:pPr>
      <w:r>
        <w:t xml:space="preserve">1. Overview</w:t>
      </w:r>
    </w:p>
    <w:p>
      <w:pPr>
        <w:pStyle w:val="FirstParagraph"/>
      </w:pPr>
      <w:r>
        <w:t xml:space="preserve">This note documents how the marginal effective tax rates (METRs) shown in the accompanying charts are estimated. The estimate combines two inputs: asset-level METRs published by the Congressional Research Service, taken as given, and investment-flow weights constructed from IRS Statistics of Income, NSF NCSES, and partnership return data. The published rates describe how each type of asset is taxed at the margin; the constructed weights describe how much investment goes into each type. Together they yield a METR for each major industry and a single economy-wide aggregate.</w:t>
      </w:r>
    </w:p>
    <w:p>
      <w:pPr>
        <w:pStyle w:val="BodyText"/>
      </w:pPr>
      <w:r>
        <w:t xml:space="preserve">Two distinct estimates are reported, and they are</w:t>
      </w:r>
      <w:r>
        <w:t xml:space="preserve"> </w:t>
      </w:r>
      <w:r>
        <w:rPr>
          <w:bCs/>
          <w:b/>
        </w:rPr>
        <w:t xml:space="preserve">not</w:t>
      </w:r>
      <w:r>
        <w:t xml:space="preserve"> </w:t>
      </w:r>
      <w:r>
        <w:t xml:space="preserve">on a comparable basis.</w:t>
      </w:r>
    </w:p>
    <w:p>
      <w:pPr>
        <w:pStyle w:val="BodyText"/>
      </w:pPr>
      <w:r>
        <w:rPr>
          <w:bCs/>
          <w:b/>
        </w:rPr>
        <w:t xml:space="preserve">Part 1, the level of the tax on investment under current law.</w:t>
      </w:r>
      <w:r>
        <w:t xml:space="preserve"> </w:t>
      </w:r>
      <w:r>
        <w:t xml:space="preserve">Post-OBBBA mixed-finance rates over twelve asset categories, applied to TY 2022 investment flows, with TY 2019 flows as a check on vintage sensitivity. This is the headline.</w:t>
      </w:r>
    </w:p>
    <w:p>
      <w:pPr>
        <w:pStyle w:val="BodyText"/>
      </w:pPr>
      <w:r>
        <w:rPr>
          <w:bCs/>
          <w:b/>
        </w:rPr>
        <w:t xml:space="preserve">Part 2, the change in the tax on investment since before the TCJA.</w:t>
      </w:r>
      <w:r>
        <w:t xml:space="preserve"> </w:t>
      </w:r>
      <w:r>
        <w:t xml:space="preserve">A four-cell comparison of {tax law} × {flow vintage}: pre-TCJA law and post-OBBBA law, each applied to TY 2016 and TY 2022 flows. This uses equity-financed rates over eight asset categories, for reasons set out in Section 9.</w:t>
      </w:r>
    </w:p>
    <w:p>
      <w:pPr>
        <w:pStyle w:val="BodyText"/>
      </w:pPr>
      <w:r>
        <w:t xml:space="preserve">The two Parts differ in financing basis and in granularity, so their figures are different measures of different things and must not be compared directly. Section 9.2 quantifies the gap and explains why it is almost entirely the financing basis rather than the granularity.</w:t>
      </w:r>
    </w:p>
    <w:p>
      <w:pPr>
        <w:pStyle w:val="BodyText"/>
      </w:pPr>
      <w:r>
        <w:t xml:space="preserve">The estimate is produced for three legal-form universes and for any available tax-year vintage of the flow data. Sections 2 through 8 document the method common to both Parts; Section 9 covers Part 2; Section 10 the specifications reported, and Section 11 the limitations. The framework that gives these measurements a welfare interpretation is set out separately; this note documents their construction, and the code that implements it is documented in</w:t>
      </w:r>
      <w:r>
        <w:t xml:space="preserve"> </w:t>
      </w:r>
      <w:r>
        <w:rPr>
          <w:rStyle w:val="VerbatimChar"/>
        </w:rPr>
        <w:t xml:space="preserve">README.md</w:t>
      </w:r>
      <w:r>
        <w:t xml:space="preserve">.</w:t>
      </w:r>
    </w:p>
    <w:bookmarkEnd w:id="20"/>
    <w:bookmarkStart w:id="21" w:name="the-marginal-effective-tax-rate"/>
    <w:p>
      <w:pPr>
        <w:pStyle w:val="Heading1"/>
      </w:pPr>
      <w:r>
        <w:t xml:space="preserve">2. The marginal effective tax rate</w:t>
      </w:r>
    </w:p>
    <w:p>
      <w:pPr>
        <w:pStyle w:val="FirstParagraph"/>
      </w:pPr>
      <w:r>
        <w:t xml:space="preserve">The marginal effective tax rate is a forward-looking measure of the share of the return on a prospective investment that is taken in tax, in present-value terms over the life of the asset. It differs from the statutory rate, which applies to taxable income, and from the average effective rate, which is tax paid in a year as a share of income, because it incorporates the timing of income and deductions — most importantly the value of accelerated cost recovery and expensing — as well as the research credit, interest deductibility, and the taxes ultimately borne by shareholders and creditors.</w:t>
      </w:r>
    </w:p>
    <w:p>
      <w:pPr>
        <w:pStyle w:val="BodyText"/>
      </w:pPr>
      <w:r>
        <w:t xml:space="preserve">For a given asset, the METR is defined as</w:t>
      </w:r>
    </w:p>
    <w:p>
      <w:pPr>
        <w:pStyle w:val="BodyText"/>
      </w:pPr>
      <w:r>
        <w:t xml:space="preserve">METR = ( ρ − s ) / ρ</w:t>
      </w:r>
    </w:p>
    <w:p>
      <w:pPr>
        <w:pStyle w:val="BodyText"/>
      </w:pPr>
      <w:r>
        <w:t xml:space="preserve">where ρ (rho) is the required real pretax rate of return — the minimum return the investment must earn to be worth undertaking, also called the hurdle rate — and s is the required real after-tax return to the saver who ultimately finances it. The difference ρ − s is the tax wedge, expressed in points of return; dividing by ρ states it as a fraction of the pretax return. A negative METR means the asset is subsidized on net: its hurdle rate is pushed below the saver’s required return by tax preferences such as expensing or the research credit.</w:t>
      </w:r>
    </w:p>
    <w:p>
      <w:pPr>
        <w:pStyle w:val="BodyText"/>
      </w:pPr>
      <w:r>
        <w:t xml:space="preserve">The asset-level METRs used here are CRS model estimates. The CRS model derives each asset’s pretax return from the Hall-Jorgenson user cost of capital, incorporating the statutory rate, the present value of cost-recovery deductions, expensing shares, the research credit, interest deductibility, and individual-level taxes on dividends, capital gains, and interest. The after-tax return to savers is common across assets within a sector. This note takes the asset-level rates as given inputs; the model that produces them is documented in the CRS reports cited below.</w:t>
      </w:r>
    </w:p>
    <w:p>
      <w:pPr>
        <w:pStyle w:val="BodyText"/>
      </w:pPr>
      <w:r>
        <w:t xml:space="preserve">In Part 1 a single rate schedule — post-OBBBA, mixed finance — is applied to every flow vintage. A Part 1 run on an earlier vintage is therefore not an estimate of that year’s tax system; it asks what rates that year’s composition of investment would face under post-OBBBA law. Part 2 is the exercise that does vary the law, and there the pairing of schedule to vintage is the object of interest rather than a fixed convention.</w:t>
      </w:r>
    </w:p>
    <w:bookmarkEnd w:id="21"/>
    <w:bookmarkStart w:id="22" w:name="data-sources"/>
    <w:p>
      <w:pPr>
        <w:pStyle w:val="Heading1"/>
      </w:pPr>
      <w:r>
        <w:t xml:space="preserve">3. Data sources</w:t>
      </w:r>
    </w:p>
    <w:p>
      <w:pPr>
        <w:pStyle w:val="FirstParagraph"/>
      </w:pPr>
      <w:r>
        <w:t xml:space="preserve">Investment-flow data are assembled separately for each tax-year vintage; the asset-level tax rates are common to all runs within a Part.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Used for</w:t>
            </w:r>
          </w:p>
        </w:tc>
        <w:tc>
          <w:tcPr/>
          <w:p>
            <w:pPr>
              <w:pStyle w:val="Compact"/>
              <w:jc w:val="left"/>
            </w:pPr>
            <w:r>
              <w:t xml:space="preserve">Reference</w:t>
            </w:r>
          </w:p>
        </w:tc>
      </w:tr>
      <w:tr>
        <w:tc>
          <w:tcPr/>
          <w:p>
            <w:pPr>
              <w:pStyle w:val="Compact"/>
              <w:jc w:val="left"/>
            </w:pPr>
            <w:r>
              <w:t xml:space="preserve">IRS SOI, Form 4562 (Depreciation), Table 13 (TY 2017 onward) and Table 13.1 (TY 2014–2016)</w:t>
            </w:r>
          </w:p>
        </w:tc>
        <w:tc>
          <w:tcPr/>
          <w:p>
            <w:pPr>
              <w:pStyle w:val="Compact"/>
              <w:jc w:val="left"/>
            </w:pPr>
            <w:r>
              <w:t xml:space="preserve">Depreciable-property additions by industry and recovery period</w:t>
            </w:r>
          </w:p>
        </w:tc>
        <w:tc>
          <w:tcPr/>
          <w:p>
            <w:pPr>
              <w:pStyle w:val="Compact"/>
              <w:jc w:val="left"/>
            </w:pPr>
            <w:r>
              <w:t xml:space="preserve">Corporation complete report</w:t>
            </w:r>
          </w:p>
        </w:tc>
      </w:tr>
      <w:tr>
        <w:tc>
          <w:tcPr/>
          <w:p>
            <w:pPr>
              <w:pStyle w:val="Compact"/>
              <w:jc w:val="left"/>
            </w:pPr>
            <w:r>
              <w:t xml:space="preserve">IRS SOI, Complete Report Tables 5.1 and 6.1</w:t>
            </w:r>
          </w:p>
        </w:tc>
        <w:tc>
          <w:tcPr/>
          <w:p>
            <w:pPr>
              <w:pStyle w:val="Compact"/>
              <w:jc w:val="left"/>
            </w:pPr>
            <w:r>
              <w:t xml:space="preserve">Inventory and land</w:t>
            </w:r>
            <w:r>
              <w:t xml:space="preserve"> </w:t>
            </w:r>
            <w:r>
              <w:rPr>
                <w:bCs/>
                <w:b/>
              </w:rPr>
              <w:t xml:space="preserve">by industry</w:t>
            </w:r>
            <w:r>
              <w:t xml:space="preserve">, all corporations and Form 1120S corporations respectively</w:t>
            </w:r>
          </w:p>
        </w:tc>
        <w:tc>
          <w:tcPr/>
          <w:p>
            <w:pPr>
              <w:pStyle w:val="Compact"/>
              <w:jc w:val="left"/>
            </w:pPr>
            <w:r>
              <w:t xml:space="preserve">Corporation complete report</w:t>
            </w:r>
          </w:p>
        </w:tc>
      </w:tr>
      <w:tr>
        <w:tc>
          <w:tcPr/>
          <w:p>
            <w:pPr>
              <w:pStyle w:val="Compact"/>
              <w:jc w:val="left"/>
            </w:pPr>
            <w:r>
              <w:t xml:space="preserve">IRS SOI, Publication 16, Table 2.1</w:t>
            </w:r>
          </w:p>
        </w:tc>
        <w:tc>
          <w:tcPr/>
          <w:p>
            <w:pPr>
              <w:pStyle w:val="Compact"/>
              <w:jc w:val="left"/>
            </w:pPr>
            <w:r>
              <w:t xml:space="preserve">Aggregate corporate balance-sheet totals; diagnostics and observed debt shares</w:t>
            </w:r>
          </w:p>
        </w:tc>
        <w:tc>
          <w:tcPr/>
          <w:p>
            <w:pPr>
              <w:pStyle w:val="Compact"/>
              <w:jc w:val="left"/>
            </w:pPr>
            <w:r>
              <w:t xml:space="preserve">Corporation income tax returns</w:t>
            </w:r>
          </w:p>
        </w:tc>
      </w:tr>
      <w:tr>
        <w:tc>
          <w:tcPr/>
          <w:p>
            <w:pPr>
              <w:pStyle w:val="Compact"/>
              <w:jc w:val="left"/>
            </w:pPr>
            <w:r>
              <w:t xml:space="preserve">IRS SOI Corporation Source Book (TY 2013)</w:t>
            </w:r>
          </w:p>
        </w:tc>
        <w:tc>
          <w:tcPr/>
          <w:p>
            <w:pPr>
              <w:pStyle w:val="Compact"/>
              <w:jc w:val="left"/>
            </w:pPr>
            <w:r>
              <w:t xml:space="preserve">S-corporation derivation fallback</w:t>
            </w:r>
          </w:p>
        </w:tc>
        <w:tc>
          <w:tcPr/>
          <w:p>
            <w:pPr>
              <w:pStyle w:val="Compact"/>
              <w:jc w:val="left"/>
            </w:pPr>
            <w:r>
              <w:t xml:space="preserve">Pub. 1053</w:t>
            </w:r>
          </w:p>
        </w:tc>
      </w:tr>
      <w:tr>
        <w:tc>
          <w:tcPr/>
          <w:p>
            <w:pPr>
              <w:pStyle w:val="Compact"/>
              <w:jc w:val="left"/>
            </w:pPr>
            <w:r>
              <w:t xml:space="preserve">NSF NCSES business R&amp;D series</w:t>
            </w:r>
          </w:p>
        </w:tc>
        <w:tc>
          <w:tcPr/>
          <w:p>
            <w:pPr>
              <w:pStyle w:val="Compact"/>
              <w:jc w:val="left"/>
            </w:pPr>
            <w:r>
              <w:t xml:space="preserve">Business R&amp;D performance by industry</w:t>
            </w:r>
          </w:p>
        </w:tc>
        <w:tc>
          <w:tcPr/>
          <w:p>
            <w:pPr>
              <w:pStyle w:val="Compact"/>
              <w:jc w:val="left"/>
            </w:pPr>
            <w:r>
              <w:t xml:space="preserve">See Appendix A</w:t>
            </w:r>
          </w:p>
        </w:tc>
      </w:tr>
      <w:tr>
        <w:tc>
          <w:tcPr/>
          <w:p>
            <w:pPr>
              <w:pStyle w:val="Compact"/>
              <w:jc w:val="left"/>
            </w:pPr>
            <w:r>
              <w:t xml:space="preserve">IRS SOI Partnership Statistics, Schedule L (Form 1065)</w:t>
            </w:r>
          </w:p>
        </w:tc>
        <w:tc>
          <w:tcPr/>
          <w:p>
            <w:pPr>
              <w:pStyle w:val="Compact"/>
              <w:jc w:val="left"/>
            </w:pPr>
            <w:r>
              <w:t xml:space="preserve">Partnership inventory, land, depreciable assets, and debt (all-firms universe)</w:t>
            </w:r>
          </w:p>
        </w:tc>
        <w:tc>
          <w:tcPr/>
          <w:p>
            <w:pPr>
              <w:pStyle w:val="Compact"/>
              <w:jc w:val="left"/>
            </w:pPr>
            <w:r>
              <w:t xml:space="preserve">Partnership returns</w:t>
            </w:r>
          </w:p>
        </w:tc>
      </w:tr>
      <w:tr>
        <w:tc>
          <w:tcPr/>
          <w:p>
            <w:pPr>
              <w:pStyle w:val="Compact"/>
              <w:jc w:val="left"/>
            </w:pPr>
            <w:r>
              <w:t xml:space="preserve">CRS, Keightley &amp; Gravelle (2025), R48631</w:t>
            </w:r>
          </w:p>
        </w:tc>
        <w:tc>
          <w:tcPr/>
          <w:p>
            <w:pPr>
              <w:pStyle w:val="Compact"/>
              <w:jc w:val="left"/>
            </w:pPr>
            <w:r>
              <w:t xml:space="preserve">Asset-level METRs: mixed finance (Table 2), equity financed (Table 3), debt financed (Table 4), sector aggregates (Table 5), alternative regimes (Table 7)</w:t>
            </w:r>
          </w:p>
        </w:tc>
        <w:tc>
          <w:tcPr/>
          <w:p>
            <w:pPr>
              <w:pStyle w:val="Compact"/>
              <w:jc w:val="left"/>
            </w:pPr>
            <w:r>
              <w:t xml:space="preserve">Post-OBBBA and 2025 prior law</w:t>
            </w:r>
          </w:p>
        </w:tc>
      </w:tr>
      <w:tr>
        <w:tc>
          <w:tcPr/>
          <w:p>
            <w:pPr>
              <w:pStyle w:val="Compact"/>
              <w:jc w:val="left"/>
            </w:pPr>
            <w:r>
              <w:t xml:space="preserve">CRS, Keightley &amp; Gravelle (2024), R48153</w:t>
            </w:r>
          </w:p>
        </w:tc>
        <w:tc>
          <w:tcPr/>
          <w:p>
            <w:pPr>
              <w:pStyle w:val="Compact"/>
              <w:jc w:val="left"/>
            </w:pPr>
            <w:r>
              <w:t xml:space="preserve">Asset-level METRs by regime for 2017, 2018, 2024 and 2027: equity financed (Table 4), debt financed (Table 5), regime parameters (Table 2)</w:t>
            </w:r>
          </w:p>
        </w:tc>
        <w:tc>
          <w:tcPr/>
          <w:p>
            <w:pPr>
              <w:pStyle w:val="Compact"/>
              <w:jc w:val="left"/>
            </w:pPr>
            <w:r>
              <w:t xml:space="preserve">Historical regimes, Part 2</w:t>
            </w:r>
          </w:p>
        </w:tc>
      </w:tr>
      <w:tr>
        <w:tc>
          <w:tcPr/>
          <w:p>
            <w:pPr>
              <w:pStyle w:val="Compact"/>
              <w:jc w:val="left"/>
            </w:pPr>
            <w:r>
              <w:t xml:space="preserve">CRS, Keightley &amp; Gravelle (2025), R48277</w:t>
            </w:r>
          </w:p>
        </w:tc>
        <w:tc>
          <w:tcPr/>
          <w:p>
            <w:pPr>
              <w:pStyle w:val="Compact"/>
              <w:jc w:val="left"/>
            </w:pPr>
            <w:r>
              <w:t xml:space="preserve">Model, parameters, economic depreciation rates</w:t>
            </w:r>
          </w:p>
        </w:tc>
        <w:tc>
          <w:tcPr/>
          <w:p>
            <w:pPr>
              <w:pStyle w:val="Compact"/>
            </w:pPr>
          </w:p>
        </w:tc>
      </w:tr>
    </w:tbl>
    <w:bookmarkEnd w:id="22"/>
    <w:bookmarkStart w:id="30" w:name="X998c5fb33d321839970337fbdeab836269d539c"/>
    <w:p>
      <w:pPr>
        <w:pStyle w:val="Heading1"/>
      </w:pPr>
      <w:r>
        <w:t xml:space="preserve">4. Constructing marginal-investment flows by industry and asset</w:t>
      </w:r>
    </w:p>
    <w:p>
      <w:pPr>
        <w:pStyle w:val="FirstParagraph"/>
      </w:pPr>
      <w:r>
        <w:t xml:space="preserve">The core of the estimate is a matrix of investment flows: for each industry, the dollar amount of recent marginal investment in each asset category. It is built in four steps, one per asset class, and then assembled into industry-level asset weights.</w:t>
      </w:r>
    </w:p>
    <w:bookmarkStart w:id="23" w:name="depreciable-property"/>
    <w:p>
      <w:pPr>
        <w:pStyle w:val="Heading2"/>
      </w:pPr>
      <w:r>
        <w:t xml:space="preserve">4.1 Depreciable property</w:t>
      </w:r>
    </w:p>
    <w:p>
      <w:pPr>
        <w:pStyle w:val="FirstParagraph"/>
      </w:pPr>
      <w:r>
        <w:t xml:space="preserve">Depreciable-property flow comes from Form 4562 Table 13, which reports the cost basis of property placed in service during the year, broken out by industry and by tax recovery period. Each recovery-period row is mapped to an asset category. Short- and medium-lived property (3- through 20-year MACRS classes, section 179 property, listed property, and the special depreciation allowance) maps to Equipment; 27.5-year property to Residential Structures; 25-year property to Power Structures. The 39-year and 40-year ADS structure rows are not a single asset type — their composition depends on the industry — so they are assigned to the appropriate nonresidential-structure category using the industry’s primary structure type (manufacturing structures in manufacturing, oil-gas-and-mining structures in mining, power structures in utilities, farm structures in agriculture, commercial or health-care structures in trade and services). Heterogeneous class-life ADS property is excluded from the headline specification. The full mapping is in Appendix B.</w:t>
      </w:r>
    </w:p>
    <w:p>
      <w:pPr>
        <w:pStyle w:val="BodyText"/>
      </w:pPr>
      <w:r>
        <w:rPr>
          <w:bCs/>
          <w:b/>
        </w:rPr>
        <w:t xml:space="preserve">No gross-up is applied to the special depreciation allowance, and none is needed.</w:t>
      </w:r>
      <w:r>
        <w:t xml:space="preserve"> </w:t>
      </w:r>
      <w:r>
        <w:t xml:space="preserve">Form 4562 reports the allowance on line 14 as a</w:t>
      </w:r>
      <w:r>
        <w:t xml:space="preserve"> </w:t>
      </w:r>
      <w:r>
        <w:rPr>
          <w:iCs/>
          <w:i/>
        </w:rPr>
        <w:t xml:space="preserve">deduction</w:t>
      </w:r>
      <w:r>
        <w:t xml:space="preserve">, and reports Section B and C basis on line 19–20 column (c)</w:t>
      </w:r>
      <w:r>
        <w:t xml:space="preserve"> </w:t>
      </w:r>
      <w:r>
        <w:rPr>
          <w:iCs/>
          <w:i/>
        </w:rPr>
        <w:t xml:space="preserve">net of</w:t>
      </w:r>
      <w:r>
        <w:t xml:space="preserve"> </w:t>
      </w:r>
      <w:r>
        <w:t xml:space="preserve">both the section 179 deduction and the special depreciation allowance. The TY 2016 instructions for column (c) state this directly, listing among the items that reduce the basis for depreciation</w:t>
      </w:r>
      <w:r>
        <w:t xml:space="preserve"> </w:t>
      </w:r>
      <w:r>
        <w:t xml:space="preserve">“</w:t>
      </w:r>
      <w:r>
        <w:t xml:space="preserve">any special depreciation allowance included on line 14.</w:t>
      </w:r>
      <w:r>
        <w:t xml:space="preserve">”</w:t>
      </w:r>
      <w:r>
        <w:t xml:space="preserve"> </w:t>
      </w:r>
      <w:r>
        <w:t xml:space="preserve">So for bonus-eligible property of cost C at bonus rate r, line 14 reports r · C and column (c) carries the remaining (1 − r) · C. The two are disjoint pieces of the same asset’s cost and sum to it:</w:t>
      </w:r>
    </w:p>
    <w:p>
      <w:pPr>
        <w:pStyle w:val="BodyText"/>
      </w:pPr>
      <w:r>
        <w:t xml:space="preserve">original cost = section 179 + special depreciation allowance + Section B basis + Section C basis</w:t>
      </w:r>
    </w:p>
    <w:p>
      <w:pPr>
        <w:pStyle w:val="BodyText"/>
      </w:pPr>
      <w:r>
        <w:t xml:space="preserve">An earlier version of this estimate divided the allowance by the bonus rate and</w:t>
      </w:r>
      <w:r>
        <w:t xml:space="preserve"> </w:t>
      </w:r>
      <w:r>
        <w:rPr>
          <w:iCs/>
          <w:i/>
        </w:rPr>
        <w:t xml:space="preserve">then</w:t>
      </w:r>
      <w:r>
        <w:t xml:space="preserve"> </w:t>
      </w:r>
      <w:r>
        <w:t xml:space="preserve">added the Section B basis, which counts the (1 − r) · C remainder twice and overstates the flow by (1 − r)/r times the allowance, all of it landing in Equipment. The error vanishes at r = 1, which is why results for TY 2018 through TY 2022 were unaffected and the problem went undetected; for TY 2016 at r = 0.50 it overstated the depreciable flow by $245.3B, about 26 percent of the total.</w:t>
      </w:r>
    </w:p>
    <w:p>
      <w:pPr>
        <w:pStyle w:val="BodyText"/>
      </w:pPr>
      <w:r>
        <w:t xml:space="preserve">The corrected treatment is confirmed by the data as well as by the instructions. Section B basis for property with a recovery period of 20 years or less was $585.5B in TY 2016 against $296.2B in TY 2022, even though TY 2016 is a smaller economy measured on a narrower universe. Netting out the $245.3B remainder brings TY 2016 to $340.3B, comparable to TY 2022. The rows for property over 20 years, which is not bonus-eligible, move in the opposite direction ($99.0B against $157.6B) and show no such inflation: the excess appears only where bonus depreciation applies.</w:t>
      </w:r>
    </w:p>
    <w:p>
      <w:pPr>
        <w:pStyle w:val="BodyText"/>
      </w:pPr>
      <w:r>
        <w:t xml:space="preserve">A consequence worth noting is that the section 168(k) rate is not an input to the measurement at all. Tax years split mid-year — TY 2017, where 100 percent bonus took effect on 28 September, and TY 2025, where it took effect on 20 January — therefore pose no measurement difficulty, although TY 2017 remains unattractive as a pre-TCJA flow vintage for the behavioral reason given in Section 9.4.</w:t>
      </w:r>
    </w:p>
    <w:p>
      <w:pPr>
        <w:pStyle w:val="BodyText"/>
      </w:pPr>
      <w:r>
        <w:t xml:space="preserve">A residual understatement remains, unfixed and small. Column (c) is also net of several other items that the calculation does not add back: sections 179C and 179D, the deduction for removing barriers to the disabled and elderly, the disabled-access and enhanced-oil-recovery credits, and investment-credit basis adjustments under section 50(c). Unlike bonus depreciation, none of these swings with a rate that changes across years, so they do not introduce asymmetry between vintages.</w:t>
      </w:r>
    </w:p>
    <w:p>
      <w:pPr>
        <w:pStyle w:val="BodyText"/>
      </w:pPr>
      <w:r>
        <w:t xml:space="preserve">A timing caveat applies to any vintage drawn from the 2018–2022 period. Under the TCJA schedule, bonus depreciation was to phase down from 2023, and firms with discretion over placement in service had an incentive to accelerate investment into the years when full expensing was still available. Observed equipment flow in those years may therefore be elevated relative to a steady state under permanent 100 percent expensing, which would raise the measured equipment share and pull the aggregate downward. The direction is known; the magnitude is not identified by these data.</w:t>
      </w:r>
    </w:p>
    <w:bookmarkEnd w:id="23"/>
    <w:bookmarkStart w:id="24" w:name="inventory"/>
    <w:p>
      <w:pPr>
        <w:pStyle w:val="Heading2"/>
      </w:pPr>
      <w:r>
        <w:t xml:space="preserve">4.2 Inventory</w:t>
      </w:r>
    </w:p>
    <w:p>
      <w:pPr>
        <w:pStyle w:val="FirstParagraph"/>
      </w:pPr>
      <w:r>
        <w:t xml:space="preserve">Inventory investment is measured as net new investment — the change in the inventory stock from the prior year-end to the current year-end — and the asset-level inventory rate is applied to this net flow.</w:t>
      </w:r>
    </w:p>
    <w:p>
      <w:pPr>
        <w:pStyle w:val="BodyText"/>
      </w:pPr>
      <w:r>
        <w:t xml:space="preserve">Inventory is read</w:t>
      </w:r>
      <w:r>
        <w:t xml:space="preserve"> </w:t>
      </w:r>
      <w:r>
        <w:rPr>
          <w:bCs/>
          <w:b/>
        </w:rPr>
        <w:t xml:space="preserve">by industry, directly from the Complete Report industry tables</w:t>
      </w:r>
      <w:r>
        <w:t xml:space="preserve">: Table 5.1 for all corporations and, for the C-corporation universe, net of Table 6.1 for Form 1120S corporations, in both the current and the prior year. Both the industry distribution and the S-corporation subtraction therefore come from the run year.</w:t>
      </w:r>
    </w:p>
    <w:p>
      <w:pPr>
        <w:pStyle w:val="BodyText"/>
      </w:pPr>
      <w:r>
        <w:t xml:space="preserve">This supersedes an earlier method, which distributed a single national total from Publication 16 Table 2.1 across industries using shares computed from the TY 2013 Source Book. Measured against the direct figures, that imputation had a mean absolute error of roughly</w:t>
      </w:r>
      <w:r>
        <w:t xml:space="preserve"> </w:t>
      </w:r>
      <w:r>
        <w:rPr>
          <w:bCs/>
          <w:b/>
        </w:rPr>
        <w:t xml:space="preserve">24 percent for inventories and 46 percent for land</w:t>
      </w:r>
      <w:r>
        <w:t xml:space="preserve">, the largest single error being Real Estate land. The change removes an assumption of share stability over a nine-year interval, and with it a limitation that earlier versions of this note listed.</w:t>
      </w:r>
    </w:p>
    <w:p>
      <w:pPr>
        <w:pStyle w:val="BodyText"/>
      </w:pPr>
      <w:r>
        <w:t xml:space="preserve">Table 6.1 suppresses a small number of sector cells for disclosure. Where the All Industries total is itself unsuppressed, the suppressed sectors’ combined value is recovered by subtraction and distributed; this is reported in the run log so the affected sectors are visible. Industries listed as having negligible inventory holdings are set to zero.</w:t>
      </w:r>
    </w:p>
    <w:bookmarkEnd w:id="24"/>
    <w:bookmarkStart w:id="25" w:name="land"/>
    <w:p>
      <w:pPr>
        <w:pStyle w:val="Heading2"/>
      </w:pPr>
      <w:r>
        <w:t xml:space="preserve">4.3 Land</w:t>
      </w:r>
    </w:p>
    <w:p>
      <w:pPr>
        <w:pStyle w:val="FirstParagraph"/>
      </w:pPr>
      <w:r>
        <w:t xml:space="preserve">Land is handled identically to inventory: the net change in the land stock between consecutive year-ends, read by industry from Tables 5.1 and 6.1 on the same universe basis. Land is non-depreciable and, in the CRS framework, carries a high effective rate because none of its cost is recovered through deductions.</w:t>
      </w:r>
    </w:p>
    <w:bookmarkEnd w:id="25"/>
    <w:bookmarkStart w:id="26" w:name="research-and-development"/>
    <w:p>
      <w:pPr>
        <w:pStyle w:val="Heading2"/>
      </w:pPr>
      <w:r>
        <w:t xml:space="preserve">4.4 Research and development</w:t>
      </w:r>
    </w:p>
    <w:p>
      <w:pPr>
        <w:pStyle w:val="FirstParagraph"/>
      </w:pPr>
      <w:r>
        <w:t xml:space="preserve">R&amp;D investment flow by industry comes from the NSF National Center for Science and Engineering Statistics business R&amp;D series. R&amp;D is treated as performed in the corporate sector. Under the post-OBBBA regime R&amp;D is expensed and eligible for the research credit, which gives it a substantial net subsidy.</w:t>
      </w:r>
    </w:p>
    <w:p>
      <w:pPr>
        <w:pStyle w:val="BodyText"/>
      </w:pPr>
      <w:r>
        <w:t xml:space="preserve">The survey has changed name and scope over the period covered. The Business Enterprise R&amp;D Survey (BERD) begins with survey year 2019; 2017–18 was covered by the Business Research and Development Survey, and 2008–16 by the Business R&amp;D and Innovation Survey (BRDIS). The TY 2016 flow vintage therefore draws on BRDIS rather than BERD. Two definitional differences follow: BRDIS covered firms with five or more employees where BERD covers ten or more, and from survey year 2018 NCSES excludes firms performing under $50,000 of R&amp;D. The employee-threshold difference is measurable and small — the 5-to-9 employee band accounts for $1,581M of the $374,685M TY 2016 total, or 0.42 percent.</w:t>
      </w:r>
    </w:p>
    <w:p>
      <w:pPr>
        <w:pStyle w:val="BodyText"/>
      </w:pPr>
      <w:r>
        <w:rPr>
          <w:bCs/>
          <w:b/>
        </w:rPr>
        <w:t xml:space="preserve">Sector coverage is not uniform across vintages, and the difference is larger than the survey break.</w:t>
      </w:r>
      <w:r>
        <w:t xml:space="preserve"> </w:t>
      </w:r>
      <w:r>
        <w:t xml:space="preserve">NSF reports some industries only inside aggregates and suppresses others for disclosure, and how much falls outside the two-digit detail varies by vintage: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Vintage</w:t>
            </w:r>
          </w:p>
        </w:tc>
        <w:tc>
          <w:tcPr/>
          <w:p>
            <w:pPr>
              <w:pStyle w:val="Compact"/>
              <w:jc w:val="left"/>
            </w:pPr>
            <w:r>
              <w:t xml:space="preserve">Source</w:t>
            </w:r>
          </w:p>
        </w:tc>
        <w:tc>
          <w:tcPr/>
          <w:p>
            <w:pPr>
              <w:pStyle w:val="Compact"/>
              <w:jc w:val="left"/>
            </w:pPr>
            <w:r>
              <w:t xml:space="preserve">National total</w:t>
            </w:r>
          </w:p>
        </w:tc>
        <w:tc>
          <w:tcPr/>
          <w:p>
            <w:pPr>
              <w:pStyle w:val="Compact"/>
              <w:jc w:val="left"/>
            </w:pPr>
            <w:r>
              <w:t xml:space="preserve">Covered by two-digit detail</w:t>
            </w:r>
          </w:p>
        </w:tc>
      </w:tr>
      <w:tr>
        <w:tc>
          <w:tcPr/>
          <w:p>
            <w:pPr>
              <w:pStyle w:val="Compact"/>
              <w:jc w:val="left"/>
            </w:pPr>
            <w:r>
              <w:t xml:space="preserve">TY 2016</w:t>
            </w:r>
          </w:p>
        </w:tc>
        <w:tc>
          <w:tcPr/>
          <w:p>
            <w:pPr>
              <w:pStyle w:val="Compact"/>
              <w:jc w:val="left"/>
            </w:pPr>
            <w:r>
              <w:t xml:space="preserve">BRDIS 2016 (NSF 19-318), Table 10</w:t>
            </w:r>
          </w:p>
        </w:tc>
        <w:tc>
          <w:tcPr/>
          <w:p>
            <w:pPr>
              <w:pStyle w:val="Compact"/>
              <w:jc w:val="left"/>
            </w:pPr>
            <w:r>
              <w:t xml:space="preserve">$374.7B</w:t>
            </w:r>
          </w:p>
        </w:tc>
        <w:tc>
          <w:tcPr/>
          <w:p>
            <w:pPr>
              <w:pStyle w:val="Compact"/>
              <w:jc w:val="left"/>
            </w:pPr>
            <w:r>
              <w:t xml:space="preserve">99.3%</w:t>
            </w:r>
          </w:p>
        </w:tc>
      </w:tr>
      <w:tr>
        <w:tc>
          <w:tcPr/>
          <w:p>
            <w:pPr>
              <w:pStyle w:val="Compact"/>
              <w:jc w:val="left"/>
            </w:pPr>
            <w:r>
              <w:t xml:space="preserve">TY 2019</w:t>
            </w:r>
          </w:p>
        </w:tc>
        <w:tc>
          <w:tcPr/>
          <w:p>
            <w:pPr>
              <w:pStyle w:val="Compact"/>
              <w:jc w:val="left"/>
            </w:pPr>
            <w:r>
              <w:t xml:space="preserve">BERD 2019 (NSF 22-329), Table 10</w:t>
            </w:r>
          </w:p>
        </w:tc>
        <w:tc>
          <w:tcPr/>
          <w:p>
            <w:pPr>
              <w:pStyle w:val="Compact"/>
              <w:jc w:val="left"/>
            </w:pPr>
            <w:r>
              <w:t xml:space="preserve">$493.0B</w:t>
            </w:r>
          </w:p>
        </w:tc>
        <w:tc>
          <w:tcPr/>
          <w:p>
            <w:pPr>
              <w:pStyle w:val="Compact"/>
              <w:jc w:val="left"/>
            </w:pPr>
            <w:r>
              <w:t xml:space="preserve">96.5%</w:t>
            </w:r>
          </w:p>
        </w:tc>
      </w:tr>
      <w:tr>
        <w:tc>
          <w:tcPr/>
          <w:p>
            <w:pPr>
              <w:pStyle w:val="Compact"/>
              <w:jc w:val="left"/>
            </w:pPr>
            <w:r>
              <w:t xml:space="preserve">TY 2022</w:t>
            </w:r>
          </w:p>
        </w:tc>
        <w:tc>
          <w:tcPr/>
          <w:p>
            <w:pPr>
              <w:pStyle w:val="Compact"/>
              <w:jc w:val="left"/>
            </w:pPr>
            <w:r>
              <w:t xml:space="preserve">BERD 2022 (NSF 24-335), Table 10</w:t>
            </w:r>
          </w:p>
        </w:tc>
        <w:tc>
          <w:tcPr/>
          <w:p>
            <w:pPr>
              <w:pStyle w:val="Compact"/>
              <w:jc w:val="left"/>
            </w:pPr>
            <w:r>
              <w:t xml:space="preserve">$691.5B</w:t>
            </w:r>
          </w:p>
        </w:tc>
        <w:tc>
          <w:tcPr/>
          <w:p>
            <w:pPr>
              <w:pStyle w:val="Compact"/>
              <w:jc w:val="left"/>
            </w:pPr>
            <w:r>
              <w:t xml:space="preserve">95.7%</w:t>
            </w:r>
          </w:p>
        </w:tc>
      </w:tr>
    </w:tbl>
    <w:p>
      <w:pPr>
        <w:pStyle w:val="BodyText"/>
      </w:pPr>
      <w:r>
        <w:t xml:space="preserve">The residual is not a defect of the extraction but a property of the published tables. For TY 2022, mining (21), utilities (22), wholesale trade (42) and electronic shopping (454111–12) are each published as</w:t>
      </w:r>
      <w:r>
        <w:t xml:space="preserve"> </w:t>
      </w:r>
      <w:r>
        <w:t xml:space="preserve">“</w:t>
      </w:r>
      <w:r>
        <w:t xml:space="preserve">D</w:t>
      </w:r>
      <w:r>
        <w:t xml:space="preserve">”</w:t>
      </w:r>
      <w:r>
        <w:t xml:space="preserve"> </w:t>
      </w:r>
      <w:r>
        <w:t xml:space="preserve">for disclosure; their combined total can be recovered by subtraction from the published nonmanufacturing line — about $26.7B, or 3.9 percent of national R&amp;D — but not split by sector, so it is left out rather than imputed. The same sectors are published as figures for TY 2016 and TY 2019, which is why those years cover more.</w:t>
      </w:r>
    </w:p>
    <w:p>
      <w:pPr>
        <w:pStyle w:val="BodyText"/>
      </w:pPr>
      <w:r>
        <w:t xml:space="preserve">Because R&amp;D carries the largest negative METR of any category, a vintage with weaker coverage yields an upward-biased METR. The 3.7-point coverage gap between TY 2016 and TY 2022 therefore bears on Part 2 and is recorded in Section 11. TY 2019 and TY 2022 are within 0.9 points of each other, so Part 1’s vintage check is little affected.</w:t>
      </w:r>
    </w:p>
    <w:p>
      <w:pPr>
        <w:pStyle w:val="BodyText"/>
      </w:pPr>
      <w:r>
        <w:t xml:space="preserve">Only sectors that NSF does not break out at the two-digit level in these vintages are set to zero: agriculture, construction, retail, management, administrative support, education, health care (published only as</w:t>
      </w:r>
      <w:r>
        <w:t xml:space="preserve"> </w:t>
      </w:r>
      <w:r>
        <w:t xml:space="preserve">“</w:t>
      </w:r>
      <w:r>
        <w:t xml:space="preserve">health care services</w:t>
      </w:r>
      <w:r>
        <w:t xml:space="preserve">”</w:t>
      </w:r>
      <w:r>
        <w:t xml:space="preserve"> </w:t>
      </w:r>
      <w:r>
        <w:t xml:space="preserve">without a two-digit code), arts, accommodation, and other services.</w:t>
      </w:r>
    </w:p>
    <w:p>
      <w:pPr>
        <w:pStyle w:val="BodyText"/>
      </w:pPr>
      <w:r>
        <w:t xml:space="preserve">A second timing caveat applies here, and it runs opposite to the one in Section 4.1. For tax years 2022 through 2025, section 174 required research costs to be capitalized and recovered over five years rather than expensed. Research flow observed in those years was therefore undertaken under a materially less favorable regime than the post-OBBBA rules applied to it in Part 1. To the extent the capitalization requirement suppressed research spending, the steady-state R&amp;D share under permanent expensing is higher than these vintages show, which would pull the aggregate further downward. Again the direction is known and the magnitude is not.</w:t>
      </w:r>
    </w:p>
    <w:bookmarkEnd w:id="26"/>
    <w:bookmarkStart w:id="27" w:name="industry-asset-weights"/>
    <w:p>
      <w:pPr>
        <w:pStyle w:val="Heading2"/>
      </w:pPr>
      <w:r>
        <w:t xml:space="preserve">4.5 Industry asset weights</w:t>
      </w:r>
    </w:p>
    <w:p>
      <w:pPr>
        <w:pStyle w:val="FirstParagraph"/>
      </w:pPr>
      <w:r>
        <w:t xml:space="preserve">The four flow components are assembled into a single matrix indexed by industry and asset category. Each industry’s row is then normalized to shares that sum to one. These shares are the flow weights: they describe, for each industry, how its recent marginal investment is distributed across asset types. They are the weights used in every subsequent calculation and are themselves the basis of the asset-composition charts.</w:t>
      </w:r>
    </w:p>
    <w:p>
      <w:pPr>
        <w:pStyle w:val="BodyText"/>
      </w:pPr>
      <w:r>
        <w:t xml:space="preserve">The weights are current-period flows rather than capital stocks, and the choice is one of BASE rather than of proxy quality. The framework’s cost index can be written over either the investment bundle acquired in a period or the stock of capital in place; under fixed proportions the two compositions are proportional but not equal, differing by the sum of the economic depreciation rate and the growth rate, so the two bases give different indices. The investment base is used here because the marginal effective tax rate is defined on a prospective marginal investment, so weighting by dollars of marginal investment matches the object being measured. The stock base answers a different question — the wedge applying to the existing capital base — and is reported as a comparison, since CRS’s own published aggregates are stock-weighted using BEA Fixed Assets data and therefore reflect the cumulative legacy of investment made under prior tax regimes.</w:t>
      </w:r>
    </w:p>
    <w:bookmarkEnd w:id="27"/>
    <w:bookmarkStart w:id="28" w:name="X579ef1444287dbb55d5a96ea51d0fd44bf9fb73"/>
    <w:p>
      <w:pPr>
        <w:pStyle w:val="Heading2"/>
      </w:pPr>
      <w:r>
        <w:t xml:space="preserve">4.6 Flow measurement conventions: gross and net</w:t>
      </w:r>
    </w:p>
    <w:p>
      <w:pPr>
        <w:pStyle w:val="FirstParagraph"/>
      </w:pPr>
      <w:r>
        <w:t xml:space="preserve">The four components are not measured on a consistent gross or net basis, and the inconsistency is imposed by the source data rather than chosen.</w:t>
      </w:r>
    </w:p>
    <w:p>
      <w:pPr>
        <w:numPr>
          <w:ilvl w:val="0"/>
          <w:numId w:val="1001"/>
        </w:numPr>
      </w:pPr>
      <w:r>
        <w:t xml:space="preserve">Depreciable property and R&amp;D are gross measures. Form 4562 reports the basis of property placed in service; dispositions are reported on Form 4797 and do not appear. NSF reports research expenditure. Neither can be negative, and neither nets firm-level disinvestment.</w:t>
      </w:r>
    </w:p>
    <w:p>
      <w:pPr>
        <w:numPr>
          <w:ilvl w:val="0"/>
          <w:numId w:val="1001"/>
        </w:numPr>
      </w:pPr>
      <w:r>
        <w:t xml:space="preserve">Inventory, land, and partnership depreciable assets are net changes in balance-sheet stocks. Each nets acquisitions against dispositions, both within firms and across firms in the same industry, and each can be negative.</w:t>
      </w:r>
    </w:p>
    <w:p>
      <w:pPr>
        <w:pStyle w:val="FirstParagraph"/>
      </w:pPr>
      <w:r>
        <w:t xml:space="preserve">The framework calls for gross measurement throughout. Because each purchase — replacement no less than expansion — is a marginal decision taken at the prevailing wedge, the weights should be shares of gross acquisition. A net change in stock nets decisions against one another and so measures something narrower.</w:t>
      </w:r>
    </w:p>
    <w:p>
      <w:pPr>
        <w:pStyle w:val="BodyText"/>
      </w:pPr>
      <w:r>
        <w:t xml:space="preserve">Neither convention is available across all four components. Putting the depreciable side on a net basis would require Form 4797 disposition data matched to industry and asset class; putting inventory and land on a gross basis would require a measure of gross acquisitions that the balance sheet does not provide. For inventory such a measure can be approximated as cost of goods sold plus the change in stock, and that specification is reported (Section 10.2); on CRS’s own holding period of 0.385 years inventory turns over roughly 2.6 times annually, so gross purchases greatly exceed the net change measured here. For land no gross measure exists in any published source, so land is necessarily net.</w:t>
      </w:r>
    </w:p>
    <w:p>
      <w:pPr>
        <w:pStyle w:val="BodyText"/>
      </w:pPr>
      <w:r>
        <w:t xml:space="preserve">The mixed basis is a property of the estimate and cannot be detected from the reported tables, so it is stated here and should be noted wherever the results are presented. It is also the source of the negative cells discussed next.</w:t>
      </w:r>
    </w:p>
    <w:bookmarkEnd w:id="28"/>
    <w:bookmarkStart w:id="29" w:name="disinvestment-and-negative-flow-cells"/>
    <w:p>
      <w:pPr>
        <w:pStyle w:val="Heading2"/>
      </w:pPr>
      <w:r>
        <w:t xml:space="preserve">4.7 Disinvestment and negative flow cells</w:t>
      </w:r>
    </w:p>
    <w:p>
      <w:pPr>
        <w:pStyle w:val="FirstParagraph"/>
      </w:pPr>
      <w:r>
        <w:t xml:space="preserve">Because inventory, land, and partnership depreciable flows are net changes in stock, an industry that ran its holdings down over the year produces a negative entry in the flow matrix. Such entries are dropped and the affected industry row is renormalized over its remaining positive entries. The reported industry figure is accordingly the METR on that industry’s positive, acquisition flow, which is a narrower quantity than a METR on net flow.</w:t>
      </w:r>
    </w:p>
    <w:p>
      <w:pPr>
        <w:pStyle w:val="BodyText"/>
      </w:pPr>
      <w:r>
        <w:t xml:space="preserve">The primary reason is that a negative share has no representation in the framework. The weights are the coefficients of a CES aggregate over asset types, which are non-negative by construction, so the identification of technology from observed shares — exact under fixed proportions — simply fails for a cell whose observed share is negative. The observation lies outside the model rather than sitting awkwardly within it.</w:t>
      </w:r>
    </w:p>
    <w:p>
      <w:pPr>
        <w:pStyle w:val="BodyText"/>
      </w:pPr>
      <w:r>
        <w:t xml:space="preserve">Two further considerations point the same way. Retaining the entry as a negative weight would assert that the tax wedge on disposing of an asset is exactly the negative of the wedge on acquiring one, which the tax code does not support: disposition triggers depreciation recapture, section 1231 characterization, and gain measured against adjusted basis rather than original cost, and for an expensed asset the asymmetry is extreme, since the entire cost was deducted at acquisition and the proceeds return as ordinary income. No published METR for dispositions exists. And because the aggregate is formed as a ratio of weighted returns (Section 6), a negative weight can drive the denominator toward zero, at which point the industry figure is unbounded and can change sign; a weighting scheme that produces an arbitrarily large rate for a mildly disinvesting industry is not measuring the intended quantity.</w:t>
      </w:r>
    </w:p>
    <w:p>
      <w:pPr>
        <w:pStyle w:val="BodyText"/>
      </w:pPr>
      <w:r>
        <w:t xml:space="preserve">Note that negative cells arise</w:t>
      </w:r>
      <w:r>
        <w:t xml:space="preserve"> </w:t>
      </w:r>
      <w:r>
        <w:rPr>
          <w:bCs/>
          <w:b/>
        </w:rPr>
        <w:t xml:space="preserve">only</w:t>
      </w:r>
      <w:r>
        <w:t xml:space="preserve"> </w:t>
      </w:r>
      <w:r>
        <w:t xml:space="preserve">in the net-measured categories. In TY 2016 on the C-corporation universe, every one of the twelve negative cells is Inventories or Land. Under the gross measurement the framework calls for, none would arise, so this treatment is a consequence of the measurement limitation set out in Section 4.6 rather than an independent modelling choice. It also follows that the depreciable specification, which excludes inventory and land, contains no negative cells by construction.</w:t>
      </w:r>
    </w:p>
    <w:p>
      <w:pPr>
        <w:pStyle w:val="BodyText"/>
      </w:pPr>
      <w:r>
        <w:t xml:space="preserve">The share of each industry’s flow removed by this treatment is reported alongside the results, so the distance between the reported figure and a net-flow concept is visible.</w:t>
      </w:r>
      <w:r>
        <w:t xml:space="preserve"> </w:t>
      </w:r>
      <w:r>
        <w:rPr>
          <w:bCs/>
          <w:b/>
        </w:rPr>
        <w:t xml:space="preserve">The C-corporation universe is unaffected in TY 2019 and TY 2022, but not in TY 2016</w:t>
      </w:r>
      <w:r>
        <w:t xml:space="preserve">, where eight of nineteen industries ran inventory or land holdings down: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Industry</w:t>
            </w:r>
          </w:p>
        </w:tc>
        <w:tc>
          <w:tcPr/>
          <w:p>
            <w:pPr>
              <w:pStyle w:val="Compact"/>
              <w:jc w:val="left"/>
            </w:pPr>
            <w:r>
              <w:t xml:space="preserve">Flow dropped</w:t>
            </w:r>
          </w:p>
        </w:tc>
        <w:tc>
          <w:tcPr/>
          <w:p>
            <w:pPr>
              <w:pStyle w:val="Compact"/>
              <w:jc w:val="left"/>
            </w:pPr>
            <w:r>
              <w:t xml:space="preserve">Category</w:t>
            </w:r>
          </w:p>
        </w:tc>
      </w:tr>
      <w:tr>
        <w:tc>
          <w:tcPr/>
          <w:p>
            <w:pPr>
              <w:pStyle w:val="Compact"/>
              <w:jc w:val="left"/>
            </w:pPr>
            <w:r>
              <w:t xml:space="preserve">Educational Services</w:t>
            </w:r>
          </w:p>
        </w:tc>
        <w:tc>
          <w:tcPr/>
          <w:p>
            <w:pPr>
              <w:pStyle w:val="Compact"/>
              <w:jc w:val="left"/>
            </w:pPr>
            <w:r>
              <w:t xml:space="preserve">60.0%</w:t>
            </w:r>
          </w:p>
        </w:tc>
        <w:tc>
          <w:tcPr/>
          <w:p>
            <w:pPr>
              <w:pStyle w:val="Compact"/>
              <w:jc w:val="left"/>
            </w:pPr>
            <w:r>
              <w:t xml:space="preserve">Land</w:t>
            </w:r>
          </w:p>
        </w:tc>
      </w:tr>
      <w:tr>
        <w:tc>
          <w:tcPr/>
          <w:p>
            <w:pPr>
              <w:pStyle w:val="Compact"/>
              <w:jc w:val="left"/>
            </w:pPr>
            <w:r>
              <w:t xml:space="preserve">Mining, Quarrying, and Oil and Gas Extraction</w:t>
            </w:r>
          </w:p>
        </w:tc>
        <w:tc>
          <w:tcPr/>
          <w:p>
            <w:pPr>
              <w:pStyle w:val="Compact"/>
              <w:jc w:val="left"/>
            </w:pPr>
            <w:r>
              <w:t xml:space="preserve">22.3%</w:t>
            </w:r>
          </w:p>
        </w:tc>
        <w:tc>
          <w:tcPr/>
          <w:p>
            <w:pPr>
              <w:pStyle w:val="Compact"/>
              <w:jc w:val="left"/>
            </w:pPr>
            <w:r>
              <w:t xml:space="preserve">Inventories, Land</w:t>
            </w:r>
          </w:p>
        </w:tc>
      </w:tr>
      <w:tr>
        <w:tc>
          <w:tcPr/>
          <w:p>
            <w:pPr>
              <w:pStyle w:val="Compact"/>
              <w:jc w:val="left"/>
            </w:pPr>
            <w:r>
              <w:t xml:space="preserve">Arts, Entertainment, and Recreation</w:t>
            </w:r>
          </w:p>
        </w:tc>
        <w:tc>
          <w:tcPr/>
          <w:p>
            <w:pPr>
              <w:pStyle w:val="Compact"/>
              <w:jc w:val="left"/>
            </w:pPr>
            <w:r>
              <w:t xml:space="preserve">4.5%</w:t>
            </w:r>
          </w:p>
        </w:tc>
        <w:tc>
          <w:tcPr/>
          <w:p>
            <w:pPr>
              <w:pStyle w:val="Compact"/>
              <w:jc w:val="left"/>
            </w:pPr>
            <w:r>
              <w:t xml:space="preserve">Land</w:t>
            </w:r>
          </w:p>
        </w:tc>
      </w:tr>
      <w:tr>
        <w:tc>
          <w:tcPr/>
          <w:p>
            <w:pPr>
              <w:pStyle w:val="Compact"/>
              <w:jc w:val="left"/>
            </w:pPr>
            <w:r>
              <w:t xml:space="preserve">Agriculture, Forestry, Fishing, Hunting</w:t>
            </w:r>
          </w:p>
        </w:tc>
        <w:tc>
          <w:tcPr/>
          <w:p>
            <w:pPr>
              <w:pStyle w:val="Compact"/>
              <w:jc w:val="left"/>
            </w:pPr>
            <w:r>
              <w:t xml:space="preserve">3.9%</w:t>
            </w:r>
          </w:p>
        </w:tc>
        <w:tc>
          <w:tcPr/>
          <w:p>
            <w:pPr>
              <w:pStyle w:val="Compact"/>
              <w:jc w:val="left"/>
            </w:pPr>
            <w:r>
              <w:t xml:space="preserve">Inventories</w:t>
            </w:r>
          </w:p>
        </w:tc>
      </w:tr>
      <w:tr>
        <w:tc>
          <w:tcPr/>
          <w:p>
            <w:pPr>
              <w:pStyle w:val="Compact"/>
              <w:jc w:val="left"/>
            </w:pPr>
            <w:r>
              <w:t xml:space="preserve">Wholesale Trade</w:t>
            </w:r>
          </w:p>
        </w:tc>
        <w:tc>
          <w:tcPr/>
          <w:p>
            <w:pPr>
              <w:pStyle w:val="Compact"/>
              <w:jc w:val="left"/>
            </w:pPr>
            <w:r>
              <w:t xml:space="preserve">2.4%</w:t>
            </w:r>
          </w:p>
        </w:tc>
        <w:tc>
          <w:tcPr/>
          <w:p>
            <w:pPr>
              <w:pStyle w:val="Compact"/>
              <w:jc w:val="left"/>
            </w:pPr>
            <w:r>
              <w:t xml:space="preserve">Land</w:t>
            </w:r>
          </w:p>
        </w:tc>
      </w:tr>
      <w:tr>
        <w:tc>
          <w:tcPr/>
          <w:p>
            <w:pPr>
              <w:pStyle w:val="Compact"/>
              <w:jc w:val="left"/>
            </w:pPr>
            <w:r>
              <w:t xml:space="preserve">Manufacturing</w:t>
            </w:r>
          </w:p>
        </w:tc>
        <w:tc>
          <w:tcPr/>
          <w:p>
            <w:pPr>
              <w:pStyle w:val="Compact"/>
              <w:jc w:val="left"/>
            </w:pPr>
            <w:r>
              <w:t xml:space="preserve">1.8%</w:t>
            </w:r>
          </w:p>
        </w:tc>
        <w:tc>
          <w:tcPr/>
          <w:p>
            <w:pPr>
              <w:pStyle w:val="Compact"/>
              <w:jc w:val="left"/>
            </w:pPr>
            <w:r>
              <w:t xml:space="preserve">Inventories</w:t>
            </w:r>
          </w:p>
        </w:tc>
      </w:tr>
      <w:tr>
        <w:tc>
          <w:tcPr/>
          <w:p>
            <w:pPr>
              <w:pStyle w:val="Compact"/>
              <w:jc w:val="left"/>
            </w:pPr>
            <w:r>
              <w:t xml:space="preserve">Utilities</w:t>
            </w:r>
          </w:p>
        </w:tc>
        <w:tc>
          <w:tcPr/>
          <w:p>
            <w:pPr>
              <w:pStyle w:val="Compact"/>
              <w:jc w:val="left"/>
            </w:pPr>
            <w:r>
              <w:t xml:space="preserve">0.7%</w:t>
            </w:r>
          </w:p>
        </w:tc>
        <w:tc>
          <w:tcPr/>
          <w:p>
            <w:pPr>
              <w:pStyle w:val="Compact"/>
              <w:jc w:val="left"/>
            </w:pPr>
            <w:r>
              <w:t xml:space="preserve">Inventories</w:t>
            </w:r>
          </w:p>
        </w:tc>
      </w:tr>
      <w:tr>
        <w:tc>
          <w:tcPr/>
          <w:p>
            <w:pPr>
              <w:pStyle w:val="Compact"/>
              <w:jc w:val="left"/>
            </w:pPr>
            <w:r>
              <w:t xml:space="preserve">Finance and Insurance</w:t>
            </w:r>
          </w:p>
        </w:tc>
        <w:tc>
          <w:tcPr/>
          <w:p>
            <w:pPr>
              <w:pStyle w:val="Compact"/>
              <w:jc w:val="left"/>
            </w:pPr>
            <w:r>
              <w:t xml:space="preserve">under 0.1%</w:t>
            </w:r>
          </w:p>
        </w:tc>
        <w:tc>
          <w:tcPr/>
          <w:p>
            <w:pPr>
              <w:pStyle w:val="Compact"/>
              <w:jc w:val="left"/>
            </w:pPr>
            <w:r>
              <w:t xml:space="preserve">Land</w:t>
            </w:r>
          </w:p>
        </w:tc>
      </w:tr>
    </w:tbl>
    <w:p>
      <w:pPr>
        <w:pStyle w:val="BodyText"/>
      </w:pPr>
      <w:r>
        <w:t xml:space="preserve">The TY 2016 estimate for Educational Services rests on 40 percent of that industry’s measured flow and should not be interpreted alongside the others; Mining’s rests on roughly three quarters. On the all-corporation and all-firms universes the treatment binds more widely, and there predominantly on partnership flows.</w:t>
      </w:r>
    </w:p>
    <w:bookmarkEnd w:id="29"/>
    <w:bookmarkEnd w:id="30"/>
    <w:bookmarkStart w:id="31" w:name="asset-categories-and-applied-tax-rates"/>
    <w:p>
      <w:pPr>
        <w:pStyle w:val="Heading1"/>
      </w:pPr>
      <w:r>
        <w:t xml:space="preserve">5. Asset categories and applied tax rates</w:t>
      </w:r>
    </w:p>
    <w:p>
      <w:pPr>
        <w:pStyle w:val="FirstParagraph"/>
      </w:pPr>
      <w:r>
        <w:t xml:space="preserve">Part 1 uses twelve asset categories. The table below lists each and the corporate-sector, mixed-finance, post-OBBBA METR applied to it. Assets eligible for expensing or the research credit carry low or negative rates; assets whose cost is recovered slowly or not at all carry rates at or above the statutory level.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Asset category</w:t>
            </w:r>
          </w:p>
        </w:tc>
        <w:tc>
          <w:tcPr/>
          <w:p>
            <w:pPr>
              <w:pStyle w:val="Compact"/>
              <w:jc w:val="left"/>
            </w:pPr>
            <w:r>
              <w:t xml:space="preserve">METR</w:t>
            </w:r>
          </w:p>
        </w:tc>
        <w:tc>
          <w:tcPr/>
          <w:p>
            <w:pPr>
              <w:pStyle w:val="Compact"/>
              <w:jc w:val="left"/>
            </w:pPr>
            <w:r>
              <w:t xml:space="preserve">Treatment</w:t>
            </w:r>
          </w:p>
        </w:tc>
      </w:tr>
      <w:tr>
        <w:tc>
          <w:tcPr/>
          <w:p>
            <w:pPr>
              <w:pStyle w:val="Compact"/>
              <w:jc w:val="left"/>
            </w:pPr>
            <w:r>
              <w:t xml:space="preserve">R&amp;D</w:t>
            </w:r>
          </w:p>
        </w:tc>
        <w:tc>
          <w:tcPr/>
          <w:p>
            <w:pPr>
              <w:pStyle w:val="Compact"/>
              <w:jc w:val="left"/>
            </w:pPr>
            <w:r>
              <w:t xml:space="preserve">−47.2%</w:t>
            </w:r>
          </w:p>
        </w:tc>
        <w:tc>
          <w:tcPr/>
          <w:p>
            <w:pPr>
              <w:pStyle w:val="Compact"/>
              <w:jc w:val="left"/>
            </w:pPr>
            <w:r>
              <w:t xml:space="preserve">Expensed + credit</w:t>
            </w:r>
          </w:p>
        </w:tc>
      </w:tr>
      <w:tr>
        <w:tc>
          <w:tcPr/>
          <w:p>
            <w:pPr>
              <w:pStyle w:val="Compact"/>
              <w:jc w:val="left"/>
            </w:pPr>
            <w:r>
              <w:t xml:space="preserve">Manufacturing structures</w:t>
            </w:r>
          </w:p>
        </w:tc>
        <w:tc>
          <w:tcPr/>
          <w:p>
            <w:pPr>
              <w:pStyle w:val="Compact"/>
              <w:jc w:val="left"/>
            </w:pPr>
            <w:r>
              <w:t xml:space="preserve">+1.8%</w:t>
            </w:r>
          </w:p>
        </w:tc>
        <w:tc>
          <w:tcPr/>
          <w:p>
            <w:pPr>
              <w:pStyle w:val="Compact"/>
              <w:jc w:val="left"/>
            </w:pPr>
            <w:r>
              <w:t xml:space="preserve">Expensed, section 168(n)</w:t>
            </w:r>
          </w:p>
        </w:tc>
      </w:tr>
      <w:tr>
        <w:tc>
          <w:tcPr/>
          <w:p>
            <w:pPr>
              <w:pStyle w:val="Compact"/>
              <w:jc w:val="left"/>
            </w:pPr>
            <w:r>
              <w:t xml:space="preserve">Communications structures</w:t>
            </w:r>
          </w:p>
        </w:tc>
        <w:tc>
          <w:tcPr/>
          <w:p>
            <w:pPr>
              <w:pStyle w:val="Compact"/>
              <w:jc w:val="left"/>
            </w:pPr>
            <w:r>
              <w:t xml:space="preserve">+1.8%</w:t>
            </w:r>
          </w:p>
        </w:tc>
        <w:tc>
          <w:tcPr/>
          <w:p>
            <w:pPr>
              <w:pStyle w:val="Compact"/>
              <w:jc w:val="left"/>
            </w:pPr>
            <w:r>
              <w:t xml:space="preserve">Expensed</w:t>
            </w:r>
          </w:p>
        </w:tc>
      </w:tr>
      <w:tr>
        <w:tc>
          <w:tcPr/>
          <w:p>
            <w:pPr>
              <w:pStyle w:val="Compact"/>
              <w:jc w:val="left"/>
            </w:pPr>
            <w:r>
              <w:t xml:space="preserve">Farm structures</w:t>
            </w:r>
          </w:p>
        </w:tc>
        <w:tc>
          <w:tcPr/>
          <w:p>
            <w:pPr>
              <w:pStyle w:val="Compact"/>
              <w:jc w:val="left"/>
            </w:pPr>
            <w:r>
              <w:t xml:space="preserve">+1.8%</w:t>
            </w:r>
          </w:p>
        </w:tc>
        <w:tc>
          <w:tcPr/>
          <w:p>
            <w:pPr>
              <w:pStyle w:val="Compact"/>
              <w:jc w:val="left"/>
            </w:pPr>
            <w:r>
              <w:t xml:space="preserve">Expensed</w:t>
            </w:r>
          </w:p>
        </w:tc>
      </w:tr>
      <w:tr>
        <w:tc>
          <w:tcPr/>
          <w:p>
            <w:pPr>
              <w:pStyle w:val="Compact"/>
              <w:jc w:val="left"/>
            </w:pPr>
            <w:r>
              <w:t xml:space="preserve">Equipment</w:t>
            </w:r>
          </w:p>
        </w:tc>
        <w:tc>
          <w:tcPr/>
          <w:p>
            <w:pPr>
              <w:pStyle w:val="Compact"/>
              <w:jc w:val="left"/>
            </w:pPr>
            <w:r>
              <w:t xml:space="preserve">+3.3%</w:t>
            </w:r>
          </w:p>
        </w:tc>
        <w:tc>
          <w:tcPr/>
          <w:p>
            <w:pPr>
              <w:pStyle w:val="Compact"/>
              <w:jc w:val="left"/>
            </w:pPr>
            <w:r>
              <w:t xml:space="preserve">Expensed, bonus</w:t>
            </w:r>
          </w:p>
        </w:tc>
      </w:tr>
      <w:tr>
        <w:tc>
          <w:tcPr/>
          <w:p>
            <w:pPr>
              <w:pStyle w:val="Compact"/>
              <w:jc w:val="left"/>
            </w:pPr>
            <w:r>
              <w:t xml:space="preserve">Power structures</w:t>
            </w:r>
          </w:p>
        </w:tc>
        <w:tc>
          <w:tcPr/>
          <w:p>
            <w:pPr>
              <w:pStyle w:val="Compact"/>
              <w:jc w:val="left"/>
            </w:pPr>
            <w:r>
              <w:t xml:space="preserve">+11.6%</w:t>
            </w:r>
          </w:p>
        </w:tc>
        <w:tc>
          <w:tcPr/>
          <w:p>
            <w:pPr>
              <w:pStyle w:val="Compact"/>
              <w:jc w:val="left"/>
            </w:pPr>
            <w:r>
              <w:t xml:space="preserve">Accelerated</w:t>
            </w:r>
          </w:p>
        </w:tc>
      </w:tr>
      <w:tr>
        <w:tc>
          <w:tcPr/>
          <w:p>
            <w:pPr>
              <w:pStyle w:val="Compact"/>
              <w:jc w:val="left"/>
            </w:pPr>
            <w:r>
              <w:t xml:space="preserve">Oil, gas, and mining structures</w:t>
            </w:r>
          </w:p>
        </w:tc>
        <w:tc>
          <w:tcPr/>
          <w:p>
            <w:pPr>
              <w:pStyle w:val="Compact"/>
              <w:jc w:val="left"/>
            </w:pPr>
            <w:r>
              <w:t xml:space="preserve">+12.2%</w:t>
            </w:r>
          </w:p>
        </w:tc>
        <w:tc>
          <w:tcPr/>
          <w:p>
            <w:pPr>
              <w:pStyle w:val="Compact"/>
              <w:jc w:val="left"/>
            </w:pPr>
            <w:r>
              <w:t xml:space="preserve">Partly favored</w:t>
            </w:r>
          </w:p>
        </w:tc>
      </w:tr>
      <w:tr>
        <w:tc>
          <w:tcPr/>
          <w:p>
            <w:pPr>
              <w:pStyle w:val="Compact"/>
              <w:jc w:val="left"/>
            </w:pPr>
            <w:r>
              <w:t xml:space="preserve">Residential structures</w:t>
            </w:r>
          </w:p>
        </w:tc>
        <w:tc>
          <w:tcPr/>
          <w:p>
            <w:pPr>
              <w:pStyle w:val="Compact"/>
              <w:jc w:val="left"/>
            </w:pPr>
            <w:r>
              <w:t xml:space="preserve">+17.7%</w:t>
            </w:r>
          </w:p>
        </w:tc>
        <w:tc>
          <w:tcPr/>
          <w:p>
            <w:pPr>
              <w:pStyle w:val="Compact"/>
              <w:jc w:val="left"/>
            </w:pPr>
            <w:r>
              <w:t xml:space="preserve">Slow recovery</w:t>
            </w:r>
          </w:p>
        </w:tc>
      </w:tr>
      <w:tr>
        <w:tc>
          <w:tcPr/>
          <w:p>
            <w:pPr>
              <w:pStyle w:val="Compact"/>
              <w:jc w:val="left"/>
            </w:pPr>
            <w:r>
              <w:t xml:space="preserve">Commercial and health-care structures</w:t>
            </w:r>
          </w:p>
        </w:tc>
        <w:tc>
          <w:tcPr/>
          <w:p>
            <w:pPr>
              <w:pStyle w:val="Compact"/>
              <w:jc w:val="left"/>
            </w:pPr>
            <w:r>
              <w:t xml:space="preserve">+22.1%</w:t>
            </w:r>
          </w:p>
        </w:tc>
        <w:tc>
          <w:tcPr/>
          <w:p>
            <w:pPr>
              <w:pStyle w:val="Compact"/>
              <w:jc w:val="left"/>
            </w:pPr>
            <w:r>
              <w:t xml:space="preserve">Slow recovery</w:t>
            </w:r>
          </w:p>
        </w:tc>
      </w:tr>
      <w:tr>
        <w:tc>
          <w:tcPr/>
          <w:p>
            <w:pPr>
              <w:pStyle w:val="Compact"/>
              <w:jc w:val="left"/>
            </w:pPr>
            <w:r>
              <w:t xml:space="preserve">Land</w:t>
            </w:r>
          </w:p>
        </w:tc>
        <w:tc>
          <w:tcPr/>
          <w:p>
            <w:pPr>
              <w:pStyle w:val="Compact"/>
              <w:jc w:val="left"/>
            </w:pPr>
            <w:r>
              <w:t xml:space="preserve">+22.4%</w:t>
            </w:r>
          </w:p>
        </w:tc>
        <w:tc>
          <w:tcPr/>
          <w:p>
            <w:pPr>
              <w:pStyle w:val="Compact"/>
              <w:jc w:val="left"/>
            </w:pPr>
            <w:r>
              <w:t xml:space="preserve">No recovery</w:t>
            </w:r>
          </w:p>
        </w:tc>
      </w:tr>
      <w:tr>
        <w:tc>
          <w:tcPr/>
          <w:p>
            <w:pPr>
              <w:pStyle w:val="Compact"/>
              <w:jc w:val="left"/>
            </w:pPr>
            <w:r>
              <w:t xml:space="preserve">Other nonresidential structures</w:t>
            </w:r>
          </w:p>
        </w:tc>
        <w:tc>
          <w:tcPr/>
          <w:p>
            <w:pPr>
              <w:pStyle w:val="Compact"/>
              <w:jc w:val="left"/>
            </w:pPr>
            <w:r>
              <w:t xml:space="preserve">+22.6%</w:t>
            </w:r>
          </w:p>
        </w:tc>
        <w:tc>
          <w:tcPr/>
          <w:p>
            <w:pPr>
              <w:pStyle w:val="Compact"/>
              <w:jc w:val="left"/>
            </w:pPr>
            <w:r>
              <w:t xml:space="preserve">Slow recovery</w:t>
            </w:r>
          </w:p>
        </w:tc>
      </w:tr>
      <w:tr>
        <w:tc>
          <w:tcPr/>
          <w:p>
            <w:pPr>
              <w:pStyle w:val="Compact"/>
              <w:jc w:val="left"/>
            </w:pPr>
            <w:r>
              <w:t xml:space="preserve">Inventories</w:t>
            </w:r>
          </w:p>
        </w:tc>
        <w:tc>
          <w:tcPr/>
          <w:p>
            <w:pPr>
              <w:pStyle w:val="Compact"/>
              <w:jc w:val="left"/>
            </w:pPr>
            <w:r>
              <w:t xml:space="preserve">+24.9%</w:t>
            </w:r>
          </w:p>
        </w:tc>
        <w:tc>
          <w:tcPr/>
          <w:p>
            <w:pPr>
              <w:pStyle w:val="Compact"/>
              <w:jc w:val="left"/>
            </w:pPr>
            <w:r>
              <w:t xml:space="preserve">No recovery</w:t>
            </w:r>
          </w:p>
        </w:tc>
      </w:tr>
    </w:tbl>
    <w:p>
      <w:pPr>
        <w:pStyle w:val="BodyText"/>
      </w:pPr>
      <w:r>
        <w:rPr>
          <w:iCs/>
          <w:i/>
        </w:rPr>
        <w:t xml:space="preserve">Rates are CRS post-OBBBA mixed-finance corporate estimates (R48631, Table 2), with the nonresidential-structure subcategories carrying the corresponding CRS structure rates. Noncorporate-sector rates, the equity- and debt-financed variants used in Sections 7 and 8, and the eight-category schedules used in Part 2 are listed in Appendix C.</w:t>
      </w:r>
    </w:p>
    <w:bookmarkEnd w:id="31"/>
    <w:bookmarkStart w:id="35" w:name="X3496a2467390a4d890466d31f03d13675549e0f"/>
    <w:p>
      <w:pPr>
        <w:pStyle w:val="Heading1"/>
      </w:pPr>
      <w:r>
        <w:t xml:space="preserve">6. From asset rates to industry and economy-wide METRs</w:t>
      </w:r>
    </w:p>
    <w:p>
      <w:pPr>
        <w:pStyle w:val="FirstParagraph"/>
      </w:pPr>
      <w:r>
        <w:t xml:space="preserve">Because the METR is a ratio of returns, the industry and economy-wide rates are formed by combining the underlying returns and then taking the ratio, not by averaging the ratios. Each asset’s METR implies a required pretax return relative to the common after-tax return to savers,</w:t>
      </w:r>
    </w:p>
    <w:p>
      <w:pPr>
        <w:pStyle w:val="BodyText"/>
      </w:pPr>
      <w:r>
        <w:t xml:space="preserve">ρₐ = s / ( 1 − METRₐ )</w:t>
      </w:r>
    </w:p>
    <w:p>
      <w:pPr>
        <w:pStyle w:val="BodyText"/>
      </w:pPr>
      <w:r>
        <w:t xml:space="preserve">which is recoverable because s depends only on the sector’s debt share and on investor-level tax rates, not on which asset is financed. These pretax returns are averaged using the flow weights to give ρ̄, and the aggregate rate is ( ρ̄ − s ) / ρ̄. Within a single sector s cancels from the expression, which reduces to a weighted ratio of tax wedges,</w:t>
      </w:r>
    </w:p>
    <w:p>
      <w:pPr>
        <w:pStyle w:val="BodyText"/>
      </w:pPr>
      <w:r>
        <w:t xml:space="preserve">METR = Σ wₐ · mₐ/(1−mₐ) / Σ wₐ/(1−mₐ)</w:t>
      </w:r>
    </w:p>
    <w:p>
      <w:pPr>
        <w:pStyle w:val="BodyText"/>
      </w:pPr>
      <w:r>
        <w:t xml:space="preserve">so that the aggregate depends only on the flow shares and the published rates. No assumption about the saver’s required return enters the estimate; the value of s is needed only to express hurdle rates in levels for interpretation. This is the</w:t>
      </w:r>
      <w:r>
        <w:t xml:space="preserve"> </w:t>
      </w:r>
      <w:r>
        <w:rPr>
          <w:bCs/>
          <w:b/>
        </w:rPr>
        <w:t xml:space="preserve">dollar-wedge</w:t>
      </w:r>
      <w:r>
        <w:t xml:space="preserve"> </w:t>
      </w:r>
      <w:r>
        <w:t xml:space="preserve">aggregate and it is the reported specification throughout.</w:t>
      </w:r>
    </w:p>
    <w:bookmarkStart w:id="32" w:name="industry-level-metr"/>
    <w:p>
      <w:pPr>
        <w:pStyle w:val="Heading2"/>
      </w:pPr>
      <w:r>
        <w:t xml:space="preserve">6.1 Industry-level METR</w:t>
      </w:r>
    </w:p>
    <w:p>
      <w:pPr>
        <w:pStyle w:val="FirstParagraph"/>
      </w:pPr>
      <w:r>
        <w:t xml:space="preserve">For each industry, the assets’ pretax returns are weighted by that industry’s own asset shares to form a weighted pretax return, and the industry METR is formed from it as above. These are the values plotted as the industry bars. An industry’s rate is low or negative when its investment is concentrated in expensed assets — equipment, R&amp;D, manufacturing structures — and high when it is concentrated in inventory, land, or commercial and residential buildings. Because the per-asset rates are identical across industries, all cross-industry variation reflects differences in asset composition.</w:t>
      </w:r>
    </w:p>
    <w:bookmarkEnd w:id="32"/>
    <w:bookmarkStart w:id="33" w:name="economy-wide-metr"/>
    <w:p>
      <w:pPr>
        <w:pStyle w:val="Heading2"/>
      </w:pPr>
      <w:r>
        <w:t xml:space="preserve">6.2 Economy-wide METR</w:t>
      </w:r>
    </w:p>
    <w:p>
      <w:pPr>
        <w:pStyle w:val="FirstParagraph"/>
      </w:pPr>
      <w:r>
        <w:t xml:space="preserve">The economy-wide rate is computed the same way but over the asset flows pooled across all industries: the economy’s total flow into each asset category determines the economy-wide asset shares, from which the weighted pretax return and the single aggregate are formed. This pooled aggregate is the dashed reference line in the charts. Because it is built from economy-wide pretax returns rather than by averaging the industry bars, it need not coincide with the average of those bars, and generally does not.</w:t>
      </w:r>
    </w:p>
    <w:bookmarkEnd w:id="33"/>
    <w:bookmarkStart w:id="34" w:name="Xcba233bb3303f9739f231243338dbba2c598592"/>
    <w:p>
      <w:pPr>
        <w:pStyle w:val="Heading2"/>
      </w:pPr>
      <w:r>
        <w:t xml:space="preserve">6.3 The alternative aggregation, retained only as a record</w:t>
      </w:r>
    </w:p>
    <w:p>
      <w:pPr>
        <w:pStyle w:val="FirstParagraph"/>
      </w:pPr>
      <w:r>
        <w:t xml:space="preserve">Forming the aggregate as a direct weighted average of the published rates is not equivalent to the construction above, and the difference is systematic rather than incidental. Because the rates are ratios whose denominators vary by asset, averaging them implicitly weights each asset by the reciprocal of its hurdle rate, and so overweights assets whose hurdle rate is small. R&amp;D’s hurdle rate is by far the smallest, so the discrepancy is driven almost entirely by the R&amp;D share of flow and is largest in the industries where research is concentrated.</w:t>
      </w:r>
    </w:p>
    <w:p>
      <w:pPr>
        <w:pStyle w:val="BodyText"/>
      </w:pPr>
      <w:r>
        <w:t xml:space="preserve">The construction in Section 6 is the reported specification for this reason. It is also the exact cost-of-capital index implied by the framework under fixed proportions, and by Shephard’s lemma a first-order approximation to that index for any degree of substitutability across asset types, so it is not a convention selected among alternatives. It follows CRS’s own treatment as well: R48631 note 7 measures the effect of the OBBBA changes using the tax wedge t/(1−t) precisely because changes in large negative rates are smaller on that basis than the rates themselves suggest.</w:t>
      </w:r>
    </w:p>
    <w:p>
      <w:pPr>
        <w:pStyle w:val="BodyText"/>
      </w:pPr>
      <w:r>
        <w:t xml:space="preserve">The direct weighted average of rates is computed and written to every aggregate output under the label</w:t>
      </w:r>
      <w:r>
        <w:t xml:space="preserve"> </w:t>
      </w:r>
      <w:r>
        <w:rPr>
          <w:rStyle w:val="VerbatimChar"/>
        </w:rPr>
        <w:t xml:space="preserve">metr_weighted</w:t>
      </w:r>
      <w:r>
        <w:t xml:space="preserve">, but</w:t>
      </w:r>
      <w:r>
        <w:t xml:space="preserve"> </w:t>
      </w:r>
      <w:r>
        <w:rPr>
          <w:bCs/>
          <w:b/>
        </w:rPr>
        <w:t xml:space="preserve">it is not used for any reported result.</w:t>
      </w:r>
      <w:r>
        <w:t xml:space="preserve"> </w:t>
      </w:r>
      <w:r>
        <w:t xml:space="preserve">It is retained as a record of the earlier method. The two are not interchangeable and the gap between them is not a constant that could be adjusted away: in the Part 2 comparison the gap is 6.1 points under pre-TCJA law and 3.2 points under post-OBBBA law, so the estimated law effect differs by roughly 3 points depending on which aggregate is used.</w:t>
      </w:r>
    </w:p>
    <w:bookmarkEnd w:id="34"/>
    <w:bookmarkEnd w:id="35"/>
    <w:bookmarkStart w:id="38" w:name="legal-form-universes"/>
    <w:p>
      <w:pPr>
        <w:pStyle w:val="Heading1"/>
      </w:pPr>
      <w:r>
        <w:t xml:space="preserve">7. Legal-form universes</w:t>
      </w:r>
    </w:p>
    <w:p>
      <w:pPr>
        <w:pStyle w:val="FirstParagraph"/>
      </w:pPr>
      <w:r>
        <w:t xml:space="preserve">The estimate is produced for three universes that differ in which firms’ investment is counted:</w:t>
      </w:r>
    </w:p>
    <w:p>
      <w:pPr>
        <w:numPr>
          <w:ilvl w:val="0"/>
          <w:numId w:val="1002"/>
        </w:numPr>
      </w:pPr>
      <w:r>
        <w:t xml:space="preserve">C-corporation. Inventory and land are read from Table 5.1 net of Table 6.1, and corporate asset rates are applied. This is the cleanest measure of the tax on capital, because at the entity level corporate wages are deducted and the residual taxed is close to a pure capital return.</w:t>
      </w:r>
    </w:p>
    <w:p>
      <w:pPr>
        <w:numPr>
          <w:ilvl w:val="0"/>
          <w:numId w:val="1002"/>
        </w:numPr>
      </w:pPr>
      <w:r>
        <w:t xml:space="preserve">All-corporation. Uses Table 5.1 directly, without the S-corporation subtraction.</w:t>
      </w:r>
    </w:p>
    <w:p>
      <w:pPr>
        <w:numPr>
          <w:ilvl w:val="0"/>
          <w:numId w:val="1002"/>
        </w:numPr>
      </w:pPr>
      <w:r>
        <w:t xml:space="preserve">All-firms. Adds partnership investment from Schedule L of Form 1065 — partnership inventory and land (net change) and depreciable assets — to the corporate flows, broadening the flow base to the whole business sector.</w:t>
      </w:r>
    </w:p>
    <w:p>
      <w:pPr>
        <w:pStyle w:val="FirstParagraph"/>
      </w:pPr>
      <w:r>
        <w:t xml:space="preserve">The C-corporation and all-corporation universes contain only corporate flows, to which the corporate asset rates apply. The all-firms universe combines corporate and partnership flows and is evaluated under two rate treatments, reported alongside each other.</w:t>
      </w:r>
    </w:p>
    <w:p>
      <w:pPr>
        <w:pStyle w:val="BodyText"/>
      </w:pPr>
      <w:r>
        <w:t xml:space="preserve">Under the first, corporate rates are applied throughout, to the combined corporate-and-partnership flows. Because the rate schedule is the same one used for the other two universes, the difference between them and this one reflects only the changing composition of investment, not a change in rates; this treatment isolates the effect of adding partnership investment to the flow base. Under the second, legal-form-weighted treatment, corporate rates are applied to corporate flows within each industry and the CRS noncorporate rates to partnership flows, so that each dollar carries the rate matching the legal form holding it. Both describe the same universe and differ only in whether the rate schedule is held at the corporate rates or allowed to vary by legal form. The industry-level charts are drawn under the corporate-rates treatment; the legal-form-weighted treatment is reported as aggregate estimates.</w:t>
      </w:r>
    </w:p>
    <w:p>
      <w:pPr>
        <w:pStyle w:val="BodyText"/>
      </w:pPr>
      <w:r>
        <w:t xml:space="preserve">Because corporate and partnership flows carry different debt shares, the after-tax return to savers differs between them and does not cancel from the legal-form-weighted aggregate. That aggregate is therefore formed explicitly from the two sectors’ dollar flows and their respective saver returns, rather than by the reduced expression in Section 6.</w:t>
      </w:r>
    </w:p>
    <w:p>
      <w:pPr>
        <w:pStyle w:val="BodyText"/>
      </w:pPr>
      <w:r>
        <w:t xml:space="preserve">One note on the C-corporation universe and the depreciable side. The S-corporation subtraction applies to inventory and land, which are read from Tables 5.1 and 6.1. It does not apply to Form 4562 Table 13, whose universe is set by the published table. For TY 2019 and TY 2022 that table covers all active corporations, so the depreciable flow in the C-corporation universe includes S-corporation property; for TY 2016 the corresponding table excludes Forms 1120S, 1120-REIT and 1120-RIC, and so is a closer match to the intended universe. Section 11 records the consequence for Part 2.</w:t>
      </w:r>
    </w:p>
    <w:bookmarkStart w:id="36" w:name="X4f32de04c284f3f16d06d8a4af8ab6bafc099c2"/>
    <w:p>
      <w:pPr>
        <w:pStyle w:val="Heading2"/>
      </w:pPr>
      <w:r>
        <w:t xml:space="preserve">7.1 Allocating partnership depreciable investment</w:t>
      </w:r>
    </w:p>
    <w:p>
      <w:pPr>
        <w:pStyle w:val="FirstParagraph"/>
      </w:pPr>
      <w:r>
        <w:t xml:space="preserve">Partnership balance-sheet data report depreciable assets only as a single aggregate figure for each industry, with no breakdown by asset type or recovery period — unlike corporate Form 4562 Table 13, which reports additions class by class. Partnership depreciable investment is therefore measured as the change in gross depreciable assets between year-ends, an industry-level total carrying no asset-type detail of its own.</w:t>
      </w:r>
    </w:p>
    <w:p>
      <w:pPr>
        <w:pStyle w:val="BodyText"/>
      </w:pPr>
      <w:r>
        <w:t xml:space="preserve">To split that total across asset categories, the calculation assumes that within a given industry partnerships invest in roughly the same mix of asset types as corporations do, and applies the corporate within-industry composition from Form 4562 to the partnership total. Without an assumption of this kind the partnership total could not be assigned to asset categories at all, since the source data do not resolve it.</w:t>
      </w:r>
    </w:p>
    <w:p>
      <w:pPr>
        <w:pStyle w:val="BodyText"/>
      </w:pPr>
      <w:r>
        <w:t xml:space="preserve">Real estate is the exception, for a reason specific to how the industry is composed by legal form. In the corporate data, real estate and rental and leasing (NAICS 53) includes a large equipment rental and leasing component (NAICS 532) predominantly held by corporations, so the corporate composition for this industry is unusually equipment-heavy. Partnership activity in the same industry is overwhelmingly real estate proper (NAICS 531) — buildings rather than rental equipment — so applying the corporate composition would misallocate partnership real-estate investment toward equipment and understate its structures content. For this industry the calculation uses only the structures portion of the corporate composition, dropping equipment and renormalizing across the structure categories; where even that is unavailable it falls back to a 70/30 split between residential and commercial structures.</w:t>
      </w:r>
    </w:p>
    <w:bookmarkEnd w:id="36"/>
    <w:bookmarkStart w:id="37" w:name="X3d2cf15a8a6629ea21105e3994beb9e5740848e"/>
    <w:p>
      <w:pPr>
        <w:pStyle w:val="Heading2"/>
      </w:pPr>
      <w:r>
        <w:t xml:space="preserve">7.2 The tax treatment of partnership investors</w:t>
      </w:r>
    </w:p>
    <w:p>
      <w:pPr>
        <w:pStyle w:val="FirstParagraph"/>
      </w:pPr>
      <w:r>
        <w:t xml:space="preserve">One limitation of the all-firms estimates deserves explicit notice, because it bears on how the partnership results should be read. The asset-level rates assign a tax burden to every dollar of investment as though the income it earns were fully taxable in the hands of its owner. For corporate investment that is appropriate: the entity-level corporate tax is paid regardless of who owns the shares, and the CRS rates separately scale the shareholder-level layer to reflect the large tax-exempt and foreign ownership of corporate equity. Partnership investment is different. A partnership pays no entity-level tax; its income is taxed only on the partners’ own returns, so the correct rate depends on who the partners are.</w:t>
      </w:r>
    </w:p>
    <w:p>
      <w:pPr>
        <w:pStyle w:val="BodyText"/>
      </w:pPr>
      <w:r>
        <w:t xml:space="preserve">A substantial share of partnership capital — concentrated in real estate — is held by tax-exempt investors such as pension funds and university endowments, and by foreign investors, many of whom owe little or no U.S. income tax on that income. The rate schedule does not resolve this. The noncorporate rates are built on a single average marginal individual income tax rate applied to all pass-through profits, constructed from individual tax returns and therefore reflecting taxable individual owners; they carry no adjustment for the mix of partner types. The corporate schedule, applied to partnership flows under the corporate-rate treatment, resolves holder type for corporate shareholders but is not constructed for partnership owners at all. Neither treatment captures the share of partnership income accruing to owners facing little or no tax.</w:t>
      </w:r>
    </w:p>
    <w:p>
      <w:pPr>
        <w:pStyle w:val="BodyText"/>
      </w:pPr>
      <w:r>
        <w:t xml:space="preserve">The consequence is that the all-firms estimates overstate the effective tax burden on partnership capital. The overstatement is largest where tax-exempt and foreign ownership is most concentrated — partnership real estate — and varies across industries with the investor mix, so it is not a uniform level shift that could be removed with a single adjustment. The corporate-sector estimates are unaffected, which is a further reason to treat the C-corporation specification as the primary measure and the partnership portion of the all-firms results as an upper bound on the true burden. A full correction requires data on the partner-type composition of partnership income and is left to future work.</w:t>
      </w:r>
    </w:p>
    <w:bookmarkEnd w:id="37"/>
    <w:bookmarkEnd w:id="38"/>
    <w:bookmarkStart w:id="42" w:name="financing-assumptions"/>
    <w:p>
      <w:pPr>
        <w:pStyle w:val="Heading1"/>
      </w:pPr>
      <w:r>
        <w:t xml:space="preserve">8. Financing assumptions</w:t>
      </w:r>
    </w:p>
    <w:bookmarkStart w:id="39" w:name="the-single-debt-share"/>
    <w:p>
      <w:pPr>
        <w:pStyle w:val="Heading2"/>
      </w:pPr>
      <w:r>
        <w:t xml:space="preserve">8.1 The single debt share</w:t>
      </w:r>
    </w:p>
    <w:p>
      <w:pPr>
        <w:pStyle w:val="FirstParagraph"/>
      </w:pPr>
      <w:r>
        <w:t xml:space="preserve">The published mixed-finance rates are computed at one debt share for each legal-form sector: 0.3226 for corporations and 0.2285 for noncorporate business. That share applies to every asset and every industry within the sector. Because debt-financed investment benefits from the deduction of nominal interest, the assumed share materially affects the level of every rate, and it enters twice — once through the hurdle rate and once through the saver’s required return, which blends a debt leg and an equity leg in the same proportion.</w:t>
      </w:r>
    </w:p>
    <w:p>
      <w:pPr>
        <w:pStyle w:val="BodyText"/>
      </w:pPr>
      <w:r>
        <w:t xml:space="preserve">Actual leverage varies across industries and, more importantly, across assets, since collateralizability is an asset attribute: structures are pledgeable and carry mortgage debt, research is not and is financed from equity and internal funds. To the extent leverage is systematically higher on the assets that carry high METRs, the uniform assumption overstates the dispersion of rates across asset categories. The published equity- and debt-financed rate schedules bound the effect of financing on the level of the aggregate but, because they apply one financing assumption uniformly, do not address cross-sectional variation.</w:t>
      </w:r>
    </w:p>
    <w:bookmarkEnd w:id="39"/>
    <w:bookmarkStart w:id="40" w:name="repricing-at-a-different-debt-share"/>
    <w:p>
      <w:pPr>
        <w:pStyle w:val="Heading2"/>
      </w:pPr>
      <w:r>
        <w:t xml:space="preserve">8.2 Repricing at a different debt share</w:t>
      </w:r>
    </w:p>
    <w:p>
      <w:pPr>
        <w:pStyle w:val="FirstParagraph"/>
      </w:pPr>
      <w:r>
        <w:t xml:space="preserve">The debt share does not appear in the published rates as a parameter; it is embedded in them. Varying it therefore requires rebuilding the rates. Each asset’s hurdle rate is linear in the debt share, so a rate at any target share can be constructed by anchoring on the published mixed rate and taking the slope from the published all-equity and all-debt rates for that asset:</w:t>
      </w:r>
    </w:p>
    <w:p>
      <w:pPr>
        <w:pStyle w:val="BodyText"/>
      </w:pPr>
      <w:r>
        <w:t xml:space="preserve">ρₐ(f) = ρₐ(f₀) + (f − f₀) · [ ρₐ(1) − ρₐ(0) ]</w:t>
      </w:r>
    </w:p>
    <w:p>
      <w:pPr>
        <w:pStyle w:val="BodyText"/>
      </w:pPr>
      <w:r>
        <w:t xml:space="preserve">with the saver’s return recomputed at the target share as the corresponding blend of its debt and equity legs. Anchoring on the published mixed rate rather than interpolating between the endpoints alone means the construction returns the published rate exactly at the published share, so repricing introduces no error at CRS’s own assumption. That the three published schedules — mixed, equity-financed, and debt-financed — reconcile to a single saver’s return under this linear relation, across all twelve categories in both sectors, is an internal consistency check on the rates as transcribed.</w:t>
      </w:r>
    </w:p>
    <w:bookmarkEnd w:id="40"/>
    <w:bookmarkStart w:id="41" w:name="X71885ccbf87126e615793373475e1c8ddfd7a69"/>
    <w:p>
      <w:pPr>
        <w:pStyle w:val="Heading2"/>
      </w:pPr>
      <w:r>
        <w:t xml:space="preserve">8.3 Observed leverage, and why industry-level corporate shares are not used</w:t>
      </w:r>
    </w:p>
    <w:p>
      <w:pPr>
        <w:pStyle w:val="FirstParagraph"/>
      </w:pPr>
      <w:r>
        <w:t xml:space="preserve">Balance-sheet debt is available in the same sources already used for inventory and land, and provides a check on the assumed shares. Computed as interest-bearing debt over the sum of that debt and book equity, the aggregate corporate share falls in a range that brackets the assumed 0.3226 closely for the vintages estimated. On the partnership side the all-industries figure is likewise close to the assumed 0.2285, but that average is held down by finance and insurance, which carries a very large capital base against little debt; real estate, which accounts for the majority of all partnership debt, is levered at more than twice the assumed share. Because real estate is also where the high-METR partnership assets are concentrated, the assumed share understates leverage precisely where it most affects the result, and a partnership leverage sensitivity is reported for this reason.</w:t>
      </w:r>
    </w:p>
    <w:p>
      <w:pPr>
        <w:pStyle w:val="BodyText"/>
      </w:pPr>
      <w:r>
        <w:t xml:space="preserve">Industry-level corporate debt shares are deliberately not used. Their denominator is book net worth, which excludes internally generated intangible assets. Industries whose value is largely intangible therefore show spuriously high leverage — on this measure information ranks above real estate — and the bias is correlated with exactly the asset composition the estimate is measuring. Using such shares would move the rates of the research-intensive industries for an accounting reason rather than an economic one. Two further objections apply to any use of observed balance-sheet leverage as a substitute for the assumed share: it is a stock, reflecting the financing of the existing capital base rather than of marginal investment, and debt is a claim on the firm rather than on identified assets, so attributing it to asset categories requires an allocation rule that would impose the collateralizability pattern rather than measure it.</w:t>
      </w:r>
    </w:p>
    <w:bookmarkEnd w:id="41"/>
    <w:bookmarkEnd w:id="42"/>
    <w:bookmarkStart w:id="48" w:name="X314e525eee902333c48df89e6983d4617293cb0"/>
    <w:p>
      <w:pPr>
        <w:pStyle w:val="Heading1"/>
      </w:pPr>
      <w:r>
        <w:t xml:space="preserve">9. Part 2: comparing pre-TCJA and post-OBBBA law</w:t>
      </w:r>
    </w:p>
    <w:bookmarkStart w:id="43" w:name="the-four-cells"/>
    <w:p>
      <w:pPr>
        <w:pStyle w:val="Heading2"/>
      </w:pPr>
      <w:r>
        <w:t xml:space="preserve">9.1 The four cells</w:t>
      </w:r>
    </w:p>
    <w:p>
      <w:pPr>
        <w:pStyle w:val="FirstParagraph"/>
      </w:pPr>
      <w:r>
        <w:t xml:space="preserve">Part 2 varies two things independently: the tax law, and the vintage of the investment flows the law is applied 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Pre-TCJA law</w:t>
            </w:r>
          </w:p>
        </w:tc>
        <w:tc>
          <w:tcPr/>
          <w:p>
            <w:pPr>
              <w:pStyle w:val="Compact"/>
              <w:jc w:val="left"/>
            </w:pPr>
            <w:r>
              <w:t xml:space="preserve">Post-OBBBA law</w:t>
            </w:r>
          </w:p>
        </w:tc>
      </w:tr>
      <w:tr>
        <w:tc>
          <w:tcPr/>
          <w:p>
            <w:pPr>
              <w:pStyle w:val="Compact"/>
              <w:jc w:val="left"/>
            </w:pPr>
            <w:r>
              <w:rPr>
                <w:bCs/>
                <w:b/>
              </w:rPr>
              <w:t xml:space="preserve">TY 2016 flows</w:t>
            </w:r>
          </w:p>
        </w:tc>
        <w:tc>
          <w:tcPr/>
          <w:p>
            <w:pPr>
              <w:pStyle w:val="Compact"/>
              <w:jc w:val="left"/>
            </w:pPr>
            <w:r>
              <w:t xml:space="preserve">contemporaneous 2016</w:t>
            </w:r>
          </w:p>
        </w:tc>
        <w:tc>
          <w:tcPr/>
          <w:p>
            <w:pPr>
              <w:pStyle w:val="Compact"/>
              <w:jc w:val="left"/>
            </w:pPr>
            <w:r>
              <w:t xml:space="preserve">counterfactual: new law, old composition</w:t>
            </w:r>
          </w:p>
        </w:tc>
      </w:tr>
      <w:tr>
        <w:tc>
          <w:tcPr/>
          <w:p>
            <w:pPr>
              <w:pStyle w:val="Compact"/>
              <w:jc w:val="left"/>
            </w:pPr>
            <w:r>
              <w:rPr>
                <w:bCs/>
                <w:b/>
              </w:rPr>
              <w:t xml:space="preserve">TY 2022 flows</w:t>
            </w:r>
          </w:p>
        </w:tc>
        <w:tc>
          <w:tcPr/>
          <w:p>
            <w:pPr>
              <w:pStyle w:val="Compact"/>
              <w:jc w:val="left"/>
            </w:pPr>
            <w:r>
              <w:t xml:space="preserve">counterfactual: old law, new composition</w:t>
            </w:r>
          </w:p>
        </w:tc>
        <w:tc>
          <w:tcPr/>
          <w:p>
            <w:pPr>
              <w:pStyle w:val="Compact"/>
              <w:jc w:val="left"/>
            </w:pPr>
            <w:r>
              <w:t xml:space="preserve">contemporaneous today</w:t>
            </w:r>
          </w:p>
        </w:tc>
      </w:tr>
    </w:tbl>
    <w:p>
      <w:pPr>
        <w:pStyle w:val="BodyText"/>
      </w:pPr>
      <w:r>
        <w:t xml:space="preserve">Moving across a row isolates the effect of the law at a fixed asset composition. Moving down a column isolates the effect of composition at fixed law. The diagonal from top left to bottom right is the total historical change, and the two routes along it differ by an interaction term.</w:t>
      </w:r>
    </w:p>
    <w:p>
      <w:pPr>
        <w:pStyle w:val="BodyText"/>
      </w:pPr>
      <w:r>
        <w:t xml:space="preserve">The distinction matters for how much confidence each comparison carries.</w:t>
      </w:r>
      <w:r>
        <w:t xml:space="preserve"> </w:t>
      </w:r>
      <w:r>
        <w:rPr>
          <w:bCs/>
          <w:b/>
        </w:rPr>
        <w:t xml:space="preserve">Within a row, two rate schedules are applied to one identical weight matrix</w:t>
      </w:r>
      <w:r>
        <w:t xml:space="preserve">, so any error in the weights — the Table 13 universe break, the R&amp;D coverage gap, disclosure suppression — enters both cells and cancels exactly. The law effect is therefore measured cleanly, and it is measured twice, at old and at new composition.</w:t>
      </w:r>
      <w:r>
        <w:t xml:space="preserve"> </w:t>
      </w:r>
      <w:r>
        <w:rPr>
          <w:bCs/>
          <w:b/>
        </w:rPr>
        <w:t xml:space="preserve">Down a column the flow vintage changes</w:t>
      </w:r>
      <w:r>
        <w:t xml:space="preserve">, so the vertical comparisons and the diagonal carry the full set of vintage confounds recorded in Section 11.</w:t>
      </w:r>
    </w:p>
    <w:p>
      <w:pPr>
        <w:pStyle w:val="BodyText"/>
      </w:pPr>
      <w:r>
        <w:t xml:space="preserve">The off-diagonal cells hold composition fixed while changing the law and so deliberately exclude behavioral response. That is the standard fixed-weights decomposition and it is a feature: it separates the mechanical rate effect from reallocation. But a METR framework’s premise is that these incentives do shift composition, so</w:t>
      </w:r>
      <w:r>
        <w:t xml:space="preserve"> </w:t>
      </w:r>
      <w:r>
        <w:t xml:space="preserve">“</w:t>
      </w:r>
      <w:r>
        <w:t xml:space="preserve">post-OBBBA law on 2016 flows</w:t>
      </w:r>
      <w:r>
        <w:t xml:space="preserve">”</w:t>
      </w:r>
      <w:r>
        <w:t xml:space="preserve"> </w:t>
      </w:r>
      <w:r>
        <w:t xml:space="preserve">is a mechanical counterfactual, not a prediction of what 2016 would have looked like under OBBBA.</w:t>
      </w:r>
    </w:p>
    <w:bookmarkEnd w:id="43"/>
    <w:bookmarkStart w:id="44" w:name="X9af4a44f34025d0e9e812e50daeea7393face26"/>
    <w:p>
      <w:pPr>
        <w:pStyle w:val="Heading2"/>
      </w:pPr>
      <w:r>
        <w:t xml:space="preserve">9.2 Why equity finance and eight categories, and how Part 2 relates to Part 1</w:t>
      </w:r>
    </w:p>
    <w:p>
      <w:pPr>
        <w:pStyle w:val="FirstParagraph"/>
      </w:pPr>
      <w:r>
        <w:t xml:space="preserve">Part 2 uses</w:t>
      </w:r>
      <w:r>
        <w:t xml:space="preserve"> </w:t>
      </w:r>
      <w:r>
        <w:rPr>
          <w:bCs/>
          <w:b/>
        </w:rPr>
        <w:t xml:space="preserve">equity-financed</w:t>
      </w:r>
      <w:r>
        <w:t xml:space="preserve"> </w:t>
      </w:r>
      <w:r>
        <w:t xml:space="preserve">rates over</w:t>
      </w:r>
      <w:r>
        <w:t xml:space="preserve"> </w:t>
      </w:r>
      <w:r>
        <w:rPr>
          <w:bCs/>
          <w:b/>
        </w:rPr>
        <w:t xml:space="preserve">eight</w:t>
      </w:r>
      <w:r>
        <w:t xml:space="preserve"> </w:t>
      </w:r>
      <w:r>
        <w:t xml:space="preserve">asset categories. Both choices are forced by what CRS publishes for historical regimes.</w:t>
      </w:r>
    </w:p>
    <w:p>
      <w:pPr>
        <w:pStyle w:val="BodyText"/>
      </w:pPr>
      <w:r>
        <w:t xml:space="preserve">R48153 reports mixed-finance historical rates only with intangibles aggregated into a single category. Because the R&amp;D flow measured here is R&amp;D specifically, applying that schedule would pair an Intangible rate with an R&amp;D quantity — in 2025 that is −14.6 percent against −47.2 percent. The equity-financed tables (R48153 Table 4) and debt-financed tables (Table 5) break the intangible aggregate into its components and report R&amp;D on its own, and are therefore the only usable historical source.</w:t>
      </w:r>
    </w:p>
    <w:p>
      <w:pPr>
        <w:pStyle w:val="BodyText"/>
      </w:pPr>
      <w:r>
        <w:t xml:space="preserve">The one category still aggregated in those tables is nonresidential structures, which R48153 reports as a single figure at every level of finance. The five detailed structure categories used in Part 1 are therefore collapsed into one before the historical rates are applied. This is done after the negative-flow treatment of Section 4.7, which is defined at the detailed granularity: collapsing first would allow a negative farm-structures cell to net against a positive commercial-structures cell within the same industry, so a cell the policy intends to drop would instead silently offset a measured one.</w:t>
      </w:r>
    </w:p>
    <w:p>
      <w:pPr>
        <w:pStyle w:val="BodyText"/>
      </w:pPr>
      <w:r>
        <w:t xml:space="preserve">There is also a substantive argument for the equity basis beyond necessity. It isolates the asset-type distortion from the financing distortion, which are separate phenomena, and it avoids the one parameter on which the two CRS reports materially disagree — the interest-deduction share, 0.881 in R48153 against 0.9617 in R48631.</w:t>
      </w:r>
    </w:p>
    <w:p>
      <w:pPr>
        <w:pStyle w:val="BodyText"/>
      </w:pPr>
      <w:r>
        <w:t xml:space="preserve">The cost is that Part 2 is not on Part 1’s basis, and the same law gives different figures under the two. Decomposing the gap on TY 2022 C-corporation flows: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Specification</w:t>
            </w:r>
          </w:p>
        </w:tc>
        <w:tc>
          <w:tcPr/>
          <w:p>
            <w:pPr>
              <w:pStyle w:val="Compact"/>
              <w:jc w:val="left"/>
            </w:pPr>
            <w:r>
              <w:t xml:space="preserve">Dollar-wedge METR</w:t>
            </w:r>
          </w:p>
        </w:tc>
        <w:tc>
          <w:tcPr/>
          <w:p>
            <w:pPr>
              <w:pStyle w:val="Compact"/>
              <w:jc w:val="left"/>
            </w:pPr>
            <w:r>
              <w:t xml:space="preserve">Step</w:t>
            </w:r>
          </w:p>
        </w:tc>
      </w:tr>
      <w:tr>
        <w:tc>
          <w:tcPr/>
          <w:p>
            <w:pPr>
              <w:pStyle w:val="Compact"/>
              <w:jc w:val="left"/>
            </w:pPr>
            <w:r>
              <w:t xml:space="preserve">Twelve categories, mixed finance</w:t>
            </w:r>
          </w:p>
        </w:tc>
        <w:tc>
          <w:tcPr/>
          <w:p>
            <w:pPr>
              <w:pStyle w:val="Compact"/>
              <w:jc w:val="left"/>
            </w:pPr>
            <w:r>
              <w:t xml:space="preserve">+0.50%</w:t>
            </w:r>
          </w:p>
        </w:tc>
        <w:tc>
          <w:tcPr/>
          <w:p>
            <w:pPr>
              <w:pStyle w:val="Compact"/>
              <w:jc w:val="left"/>
            </w:pPr>
            <w:r>
              <w:t xml:space="preserve">Part 1 basis</w:t>
            </w:r>
          </w:p>
        </w:tc>
      </w:tr>
      <w:tr>
        <w:tc>
          <w:tcPr/>
          <w:p>
            <w:pPr>
              <w:pStyle w:val="Compact"/>
              <w:jc w:val="left"/>
            </w:pPr>
            <w:r>
              <w:t xml:space="preserve">Twelve categories, equity finance</w:t>
            </w:r>
          </w:p>
        </w:tc>
        <w:tc>
          <w:tcPr/>
          <w:p>
            <w:pPr>
              <w:pStyle w:val="Compact"/>
              <w:jc w:val="left"/>
            </w:pPr>
            <w:r>
              <w:t xml:space="preserve">+7.54%</w:t>
            </w:r>
          </w:p>
        </w:tc>
        <w:tc>
          <w:tcPr/>
          <w:p>
            <w:pPr>
              <w:pStyle w:val="Compact"/>
              <w:jc w:val="left"/>
            </w:pPr>
            <w:r>
              <w:t xml:space="preserve">+7.04 from dropping interest deductibility</w:t>
            </w:r>
          </w:p>
        </w:tc>
      </w:tr>
      <w:tr>
        <w:tc>
          <w:tcPr/>
          <w:p>
            <w:pPr>
              <w:pStyle w:val="Compact"/>
              <w:jc w:val="left"/>
            </w:pPr>
            <w:r>
              <w:t xml:space="preserve">Eight categories, equity finance</w:t>
            </w:r>
          </w:p>
        </w:tc>
        <w:tc>
          <w:tcPr/>
          <w:p>
            <w:pPr>
              <w:pStyle w:val="Compact"/>
              <w:jc w:val="left"/>
            </w:pPr>
            <w:r>
              <w:t xml:space="preserve">+7.28%</w:t>
            </w:r>
          </w:p>
        </w:tc>
        <w:tc>
          <w:tcPr/>
          <w:p>
            <w:pPr>
              <w:pStyle w:val="Compact"/>
              <w:jc w:val="left"/>
            </w:pPr>
            <w:r>
              <w:t xml:space="preserve">−0.26 from aggregating structures</w:t>
            </w:r>
          </w:p>
        </w:tc>
      </w:tr>
    </w:tbl>
    <w:p>
      <w:pPr>
        <w:pStyle w:val="BodyText"/>
      </w:pPr>
      <w:r>
        <w:t xml:space="preserve">Almost the entire difference is the financing basis; collapsing twelve categories to eight costs about a quarter of a point. The two Parts should be labeled as different measures rather than presented as one series, and comparisons should be made within a financing basis, never across.</w:t>
      </w:r>
    </w:p>
    <w:bookmarkEnd w:id="44"/>
    <w:bookmarkStart w:id="45" w:name="which-regimes-and-their-sources"/>
    <w:p>
      <w:pPr>
        <w:pStyle w:val="Heading2"/>
      </w:pPr>
      <w:r>
        <w:t xml:space="preserve">9.3 Which regimes, and their sources</w:t>
      </w:r>
    </w:p>
    <w:p>
      <w:pPr>
        <w:pStyle w:val="FirstParagraph"/>
      </w:pPr>
      <w:r>
        <w:t xml:space="preserve">Five regimes are available at the eight-category equity granularity: 2017 (pre-TCJA), 2018 (the most generous TCJA year), 2024 (the phase-down), 2025 with OBBBA, and 2027 (permanent law absent OBBBA). Part 2 as reported uses the first and the fourth. The pre-TCJA schedule uses CRS’s corporate rate of 34.0 percent, a weighted average allowing for the graduated schedule and the domestic production activities deduction, not the 35 percent headline rate.</w:t>
      </w:r>
    </w:p>
    <w:p>
      <w:pPr>
        <w:pStyle w:val="BodyText"/>
      </w:pPr>
      <w:r>
        <w:t xml:space="preserve">The 2017 and 2027 aggregates are identical between R48153 and R48631, so those regimes were carried across unchanged; only 2018 was restated. A 2017-versus-2025 comparison therefore crosses no baseline revision, which is worth stating because two reports are being combined.</w:t>
      </w:r>
    </w:p>
    <w:bookmarkEnd w:id="45"/>
    <w:bookmarkStart w:id="46" w:name="why-ty-2016-rather-than-ty-2017-flows"/>
    <w:p>
      <w:pPr>
        <w:pStyle w:val="Heading2"/>
      </w:pPr>
      <w:r>
        <w:t xml:space="preserve">9.4 Why TY 2016 rather than TY 2017 flows</w:t>
      </w:r>
    </w:p>
    <w:p>
      <w:pPr>
        <w:pStyle w:val="FirstParagraph"/>
      </w:pPr>
      <w:r>
        <w:t xml:space="preserve">The pre-TCJA cells use TY 2016 flows. TY 2017 would be the contemporaneous match for a schedule CRS labels 2017, and it has one clear advantage: Form 4562 Table 13 for TY 2017 is on the same universe as TY 2022, which would remove the universe break discussed in Section 11. It was rejected on behavioral grounds. One hundred percent bonus depreciation took effect for property placed in service after 27 September 2017, and the TCJA was enacted that December, so TY 2017 flows already contain pull-forward of investment into the window when full expensing became available. As a measure of pre-TCJA investment composition, TY 2016 is clean and TY 2017 is not. The two contaminations would also compound rather than offset: the pull-forward is concentrated in exactly the bonus-eligible equipment whose basis the split-year measurement is least able to resolve.</w:t>
      </w:r>
    </w:p>
    <w:p>
      <w:pPr>
        <w:pStyle w:val="BodyText"/>
      </w:pPr>
      <w:r>
        <w:t xml:space="preserve">TY 2017 remains useful as a diagnostic, and Section 11 uses it to bound the universe break.</w:t>
      </w:r>
    </w:p>
    <w:bookmarkEnd w:id="46"/>
    <w:bookmarkStart w:id="47" w:name="industry-level-reporting"/>
    <w:p>
      <w:pPr>
        <w:pStyle w:val="Heading2"/>
      </w:pPr>
      <w:r>
        <w:t xml:space="preserve">9.5 Industry-level reporting</w:t>
      </w:r>
    </w:p>
    <w:p>
      <w:pPr>
        <w:pStyle w:val="FirstParagraph"/>
      </w:pPr>
      <w:r>
        <w:t xml:space="preserve">The aggregate for each cell is a flow-weighted average and conceals cross-industry structure that is worth reporting, and that is measured cleanly along the rows for the reason given in Section 9.1. Three things are reported per cell: the full industry-by-cell table, the distribution of industry rates within each cell (flow-weighted mean, cross-industry standard deviation, and range), and the rank correlation of industry rates across the two laws.</w:t>
      </w:r>
    </w:p>
    <w:p>
      <w:pPr>
        <w:pStyle w:val="BodyText"/>
      </w:pPr>
      <w:r>
        <w:t xml:space="preserve">Two properties of the results shape how they should be read. The spread of the law effect across industries is comparable in size to its mean, so a single aggregate misstates the effect for individual industries substantially; this is the case for reporting industry detail rather than the aggregate alone. And the rank correlation across laws within a row is very high, so the law change is closer to a non-uniform downward shift than to a reordering; the reordering that does occur happens down the columns, when composition changes, not across the rows.</w:t>
      </w:r>
    </w:p>
    <w:p>
      <w:pPr>
        <w:pStyle w:val="BodyText"/>
      </w:pPr>
      <w:r>
        <w:t xml:space="preserve">An earlier version of this analysis classified industries either side of a 17 percent METR threshold and counted crossings. That threshold has been withdrawn. It had been placed in a gap in the post-OBBBA mixed-finance twelve-category schedule, between oil-gas-and-mining structures at +12.2 percent and residential structures at +17.7 percent, and it does not transfer to the equity-financed eight-category schedules used in Part 2, where every category except R&amp;D exceeds it. The counts were sensitive to the cut in a way that made them uninformative: moving it from 17 to 25 percent took the comparison from fourteen industries against zero to two against zero. Only a zero reference line is now drawn, since a zero METR is the cash-flow-tax benchmark and requires no convention.</w:t>
      </w:r>
    </w:p>
    <w:bookmarkEnd w:id="47"/>
    <w:bookmarkEnd w:id="48"/>
    <w:bookmarkStart w:id="51" w:name="specifications-reported"/>
    <w:p>
      <w:pPr>
        <w:pStyle w:val="Heading1"/>
      </w:pPr>
      <w:r>
        <w:t xml:space="preserve">10. Specifications reported</w:t>
      </w:r>
    </w:p>
    <w:bookmarkStart w:id="49" w:name="headline-specifications"/>
    <w:p>
      <w:pPr>
        <w:pStyle w:val="Heading2"/>
      </w:pPr>
      <w:r>
        <w:t xml:space="preserve">10.1 Headline specifications</w:t>
      </w:r>
    </w:p>
    <w:p>
      <w:pPr>
        <w:pStyle w:val="FirstParagraph"/>
      </w:pPr>
      <w:r>
        <w:t xml:space="preserve">Two headline specifications appear in each Part. The total-flow specification includes all asset categories, inventory and land among them. The depreciable specification restricts attention to depreciable property and R&amp;D, excluding inventory and land and renormalizing the weights; it isolates the treatment of reproducible business capital, the assets most responsive to the cost-recovery rules that OBBBA changed.</w:t>
      </w:r>
    </w:p>
    <w:p>
      <w:pPr>
        <w:pStyle w:val="BodyText"/>
      </w:pPr>
      <w:r>
        <w:t xml:space="preserve">In Part 2 the choice between them is consequential rather than presentational, because inventory and land are where the composition change between 2016 and 2022 is concentrated. On the depreciable specification the composition effect is small and the law effect is nearly identical at both weight sets; on the total-flow specification the composition effect is several points and offsets a substantial part of the law effect. The gap between the two specifications is itself a result and should be reported as such rather than resolved by choosing one.</w:t>
      </w:r>
    </w:p>
    <w:p>
      <w:pPr>
        <w:pStyle w:val="BodyText"/>
      </w:pPr>
      <w:r>
        <w:t xml:space="preserve">The asset-composition charts group the categories by tax treatment: a subsidized group (negative rates), a low-rate cash-flow-like group (expensed equipment and structures), an intermediate group, and a high-rate residual (inventory, land, and long-lived buildings). The share of investment falling in each group is read directly from the flow weights of Section 4.5. It requires no aggregation convention and no assumption about required returns, and is therefore invariant to the choices in Sections 4.7, 6.3, and 8. The bucket boundaries are a presentational convention calibrated to the post-OBBBA mixed-finance schedule and do not transfer to other schedules; see Section 9.5.</w:t>
      </w:r>
    </w:p>
    <w:bookmarkEnd w:id="49"/>
    <w:bookmarkStart w:id="50" w:name="robustness-specifications"/>
    <w:p>
      <w:pPr>
        <w:pStyle w:val="Heading2"/>
      </w:pPr>
      <w:r>
        <w:t xml:space="preserve">10.2 Robustness specifications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Specification</w:t>
            </w:r>
          </w:p>
        </w:tc>
        <w:tc>
          <w:tcPr/>
          <w:p>
            <w:pPr>
              <w:pStyle w:val="Compact"/>
              <w:jc w:val="left"/>
            </w:pPr>
            <w:r>
              <w:t xml:space="preserve">What it varies</w:t>
            </w:r>
          </w:p>
        </w:tc>
      </w:tr>
      <w:tr>
        <w:tc>
          <w:tcPr/>
          <w:p>
            <w:pPr>
              <w:pStyle w:val="Compact"/>
              <w:jc w:val="left"/>
            </w:pPr>
            <w:r>
              <w:t xml:space="preserve">Equity-financed</w:t>
            </w:r>
          </w:p>
        </w:tc>
        <w:tc>
          <w:tcPr/>
          <w:p>
            <w:pPr>
              <w:pStyle w:val="Compact"/>
              <w:jc w:val="left"/>
            </w:pPr>
            <w:r>
              <w:t xml:space="preserve">All investment financed by equity, using the published equity schedule</w:t>
            </w:r>
          </w:p>
        </w:tc>
      </w:tr>
      <w:tr>
        <w:tc>
          <w:tcPr/>
          <w:p>
            <w:pPr>
              <w:pStyle w:val="Compact"/>
              <w:jc w:val="left"/>
            </w:pPr>
            <w:r>
              <w:t xml:space="preserve">Debt-financed</w:t>
            </w:r>
          </w:p>
        </w:tc>
        <w:tc>
          <w:tcPr/>
          <w:p>
            <w:pPr>
              <w:pStyle w:val="Compact"/>
              <w:jc w:val="left"/>
            </w:pPr>
            <w:r>
              <w:t xml:space="preserve">All investment financed by debt, using the published debt schedule</w:t>
            </w:r>
          </w:p>
        </w:tc>
      </w:tr>
      <w:tr>
        <w:tc>
          <w:tcPr/>
          <w:p>
            <w:pPr>
              <w:pStyle w:val="Compact"/>
              <w:jc w:val="left"/>
            </w:pPr>
            <w:r>
              <w:t xml:space="preserve">Inventory and land as stocks</w:t>
            </w:r>
          </w:p>
        </w:tc>
        <w:tc>
          <w:tcPr/>
          <w:p>
            <w:pPr>
              <w:pStyle w:val="Compact"/>
              <w:jc w:val="left"/>
            </w:pPr>
            <w:r>
              <w:t xml:space="preserve">Inventory and land entered as stocks rather than net flows; depreciable property and R&amp;D remain flows</w:t>
            </w:r>
          </w:p>
        </w:tc>
      </w:tr>
      <w:tr>
        <w:tc>
          <w:tcPr/>
          <w:p>
            <w:pPr>
              <w:pStyle w:val="Compact"/>
              <w:jc w:val="left"/>
            </w:pPr>
            <w:r>
              <w:t xml:space="preserve">Gross-flow inventory</w:t>
            </w:r>
          </w:p>
        </w:tc>
        <w:tc>
          <w:tcPr/>
          <w:p>
            <w:pPr>
              <w:pStyle w:val="Compact"/>
              <w:jc w:val="left"/>
            </w:pPr>
            <w:r>
              <w:t xml:space="preserve">Inventory as cost of goods sold plus the change in stock, rather than the change alone. Not a sensitivity but the measurement the framework calls for (Section 4.6); the net-change version is the fallback</w:t>
            </w:r>
          </w:p>
        </w:tc>
      </w:tr>
      <w:tr>
        <w:tc>
          <w:tcPr/>
          <w:p>
            <w:pPr>
              <w:pStyle w:val="Compact"/>
              <w:jc w:val="left"/>
            </w:pPr>
            <w:r>
              <w:t xml:space="preserve">Legal-form-weighted</w:t>
            </w:r>
          </w:p>
        </w:tc>
        <w:tc>
          <w:tcPr/>
          <w:p>
            <w:pPr>
              <w:pStyle w:val="Compact"/>
              <w:jc w:val="left"/>
            </w:pPr>
            <w:r>
              <w:t xml:space="preserve">All-firms only: noncorporate rates applied to partnership flows (Section 7)</w:t>
            </w:r>
          </w:p>
        </w:tc>
      </w:tr>
      <w:tr>
        <w:tc>
          <w:tcPr/>
          <w:p>
            <w:pPr>
              <w:pStyle w:val="Compact"/>
              <w:jc w:val="left"/>
            </w:pPr>
            <w:r>
              <w:t xml:space="preserve">Partnership leverage, aggregate</w:t>
            </w:r>
          </w:p>
        </w:tc>
        <w:tc>
          <w:tcPr/>
          <w:p>
            <w:pPr>
              <w:pStyle w:val="Compact"/>
              <w:jc w:val="left"/>
            </w:pPr>
            <w:r>
              <w:t xml:space="preserve">All-firms only: partnership rates repriced at the observed aggregate partnership debt share</w:t>
            </w:r>
          </w:p>
        </w:tc>
      </w:tr>
      <w:tr>
        <w:tc>
          <w:tcPr/>
          <w:p>
            <w:pPr>
              <w:pStyle w:val="Compact"/>
              <w:jc w:val="left"/>
            </w:pPr>
            <w:r>
              <w:t xml:space="preserve">Partnership leverage, real estate</w:t>
            </w:r>
          </w:p>
        </w:tc>
        <w:tc>
          <w:tcPr/>
          <w:p>
            <w:pPr>
              <w:pStyle w:val="Compact"/>
              <w:jc w:val="left"/>
            </w:pPr>
            <w:r>
              <w:t xml:space="preserve">All-firms only: partnership rates repriced at observed real-estate leverage. A bound rather than an estimate, since it prices all partnership flow at that share</w:t>
            </w:r>
          </w:p>
        </w:tc>
      </w:tr>
    </w:tbl>
    <w:p>
      <w:pPr>
        <w:pStyle w:val="BodyText"/>
      </w:pPr>
      <w:r>
        <w:rPr>
          <w:iCs/>
          <w:i/>
        </w:rPr>
        <w:t xml:space="preserve">The equity- and debt-financed specifications apply one financing assumption uniformly across industries and assets, and so bound the level of the aggregate without addressing cross-sectional variation in leverage. These specifications are defined for the twelve-category mixed-finance schedules only; they are not run under the eight-category historical regimes, where neither the granularity nor the regime would correspond.</w:t>
      </w:r>
    </w:p>
    <w:bookmarkEnd w:id="50"/>
    <w:bookmarkEnd w:id="51"/>
    <w:bookmarkStart w:id="52" w:name="limitations"/>
    <w:p>
      <w:pPr>
        <w:pStyle w:val="Heading1"/>
      </w:pPr>
      <w:r>
        <w:t xml:space="preserve">11. Limitations</w:t>
      </w:r>
    </w:p>
    <w:p>
      <w:pPr>
        <w:pStyle w:val="FirstParagraph"/>
      </w:pPr>
      <w:r>
        <w:t xml:space="preserve">The partnership-investor issue of Section 7.2 and the financing assumption of Section 8.1 are limitations in their own right. Beyond those:</w:t>
      </w:r>
    </w:p>
    <w:p>
      <w:pPr>
        <w:pStyle w:val="BodyText"/>
      </w:pPr>
      <w:r>
        <w:rPr>
          <w:bCs/>
          <w:b/>
        </w:rPr>
        <w:t xml:space="preserve">Marginal rates applied to observed flow.</w:t>
      </w:r>
      <w:r>
        <w:t xml:space="preserve"> </w:t>
      </w:r>
      <w:r>
        <w:t xml:space="preserve">The rates are constructed at an assumed marginal hurdle rate, but the dollars aggregated include intramarginal investment earning returns above that hurdle. For such investment the wedge as a fraction of the actual return is smaller than the published rate. This biases tax-favored rates more negative and tax-disfavored rates more positive than a return-weighted measure would be, so the measured spread across asset categories is an upper bound on the spread on actual flow. The biases partly offset in the aggregate but compound in the spread. No published aggregation adjusts for this; the limitation is shared by CRS, OECD, and the academic literature in this tradition.</w:t>
      </w:r>
    </w:p>
    <w:p>
      <w:pPr>
        <w:pStyle w:val="BodyText"/>
      </w:pPr>
      <w:r>
        <w:rPr>
          <w:bCs/>
          <w:b/>
        </w:rPr>
        <w:t xml:space="preserve">Mixed gross and net measurement.</w:t>
      </w:r>
      <w:r>
        <w:t xml:space="preserve"> </w:t>
      </w:r>
      <w:r>
        <w:t xml:space="preserve">See Section 4.6. The convention differs by component and is imposed by the source data.</w:t>
      </w:r>
    </w:p>
    <w:p>
      <w:pPr>
        <w:pStyle w:val="BodyText"/>
      </w:pPr>
      <w:r>
        <w:rPr>
          <w:bCs/>
          <w:b/>
        </w:rPr>
        <w:t xml:space="preserve">Disinvestment excluded rather than valued.</w:t>
      </w:r>
      <w:r>
        <w:t xml:space="preserve"> </w:t>
      </w:r>
      <w:r>
        <w:t xml:space="preserve">See Section 4.7. A negative share has no representation in the framework, so such cells are dropped and the row renormalised; reported industry figures are therefore on positive acquisition flow, and no rate is applied to disposition. Every negative cell arises in a net-measured category, so the treatment is a consequence of the mixed conventions of Section 4.6. This binds on the C-corporation universe in TY 2016 — Educational Services loses 60.0 percent of its flow and Mining 22.3 percent — and not in TY 2019 or TY 2022.</w:t>
      </w:r>
    </w:p>
    <w:p>
      <w:pPr>
        <w:pStyle w:val="BodyText"/>
      </w:pPr>
      <w:r>
        <w:rPr>
          <w:bCs/>
          <w:b/>
        </w:rPr>
        <w:t xml:space="preserve">Depreciable-flow universe break between vintages.</w:t>
      </w:r>
      <w:r>
        <w:t xml:space="preserve"> </w:t>
      </w:r>
      <w:r>
        <w:t xml:space="preserve">Form 4562 Table 13.1, published for TY 2014 through TY 2016, covers returns of active corporations</w:t>
      </w:r>
      <w:r>
        <w:t xml:space="preserve"> </w:t>
      </w:r>
      <w:r>
        <w:rPr>
          <w:iCs/>
          <w:i/>
        </w:rPr>
        <w:t xml:space="preserve">other than</w:t>
      </w:r>
      <w:r>
        <w:t xml:space="preserve"> </w:t>
      </w:r>
      <w:r>
        <w:t xml:space="preserve">Forms 1120S, 1120-REIT and 1120-RIC. Table 13, published from TY 2017, covers all active corporations. The series do not overlap, so the break cannot be measured directly from a common year. Its effect is visible in composition: commercial and health-care structures are 5.0 percent of TY 2016 depreciable flow against 11.7 percent in TY 2022, and residential structures 0.7 against 3.8 percent, which is REIT real estate entering the later universe rather than an economic shift.</w:t>
      </w:r>
    </w:p>
    <w:p>
      <w:pPr>
        <w:pStyle w:val="BodyText"/>
      </w:pPr>
      <w:r>
        <w:t xml:space="preserve">The break can be bounded, using TY 2017 as a diagnostic even though it is not used as a flow vintage. Comparing TY 2016 with TY 2017 at a common bonus treatment isolates the universe change plus one year of real change, and gives about</w:t>
      </w:r>
      <w:r>
        <w:t xml:space="preserve"> </w:t>
      </w:r>
      <w:r>
        <w:rPr>
          <w:bCs/>
          <w:b/>
        </w:rPr>
        <w:t xml:space="preserve">0.85 percentage points</w:t>
      </w:r>
      <w:r>
        <w:t xml:space="preserve">; the remainder of the TY 2016-to-TY 2022 difference is genuine composition change. Because that bound also contains a year of real change and whatever pull-forward affects TY 2017, the true break is likely smaller. For the C-corporation universe the direction is favorable: the TY 2016 table is the closer match to the intended universe, and it is TY 2022 that includes S-corporation, REIT and RIC property (Section 7).</w:t>
      </w:r>
    </w:p>
    <w:p>
      <w:pPr>
        <w:pStyle w:val="BodyText"/>
      </w:pPr>
      <w:r>
        <w:rPr>
          <w:bCs/>
          <w:b/>
        </w:rPr>
        <w:t xml:space="preserve">R&amp;D coverage differs across vintages.</w:t>
      </w:r>
      <w:r>
        <w:t xml:space="preserve"> </w:t>
      </w:r>
      <w:r>
        <w:t xml:space="preserve">Two-digit coverage is 99.3 percent of the national total in TY 2016 against 95.7 percent in TY 2022 (Section 4.4). Because R&amp;D carries the largest negative rate of any category, the weaker TY 2022 coverage biases that cell’s METR upward and inflates the apparent composition effect in Part 2. TY 2019 and TY 2022 are within 0.9 points, so Part 1’s vintage check is little affected. The gap is not closable from published data: the TY 2022 shortfall is disclosure suppression, recoverable in aggregate but not by sector.</w:t>
      </w:r>
    </w:p>
    <w:p>
      <w:pPr>
        <w:pStyle w:val="BodyText"/>
      </w:pPr>
      <w:r>
        <w:rPr>
          <w:bCs/>
          <w:b/>
        </w:rPr>
        <w:t xml:space="preserve">Structural aggregation hides the manufacturing-structures preference.</w:t>
      </w:r>
      <w:r>
        <w:t xml:space="preserve"> </w:t>
      </w:r>
      <w:r>
        <w:t xml:space="preserve">Collapsing the five nonresidential-structure categories to one for Part 2 (Section 9.2) removes the distinction that section 168(n) creates. Manufacturing structures are about 1.4 percent of corporate flow and move from roughly 26 percent to 7.8 percent on an equity basis under post-OBBBA law, so a post-OBBBA figure computed at the eight-category granularity understates how favorable current law is. The bias runs against the finding that OBBBA reduced the tax on investment, which is the conservative direction for it to run.</w:t>
      </w:r>
    </w:p>
    <w:p>
      <w:pPr>
        <w:pStyle w:val="BodyText"/>
      </w:pPr>
      <w:r>
        <w:rPr>
          <w:bCs/>
          <w:b/>
        </w:rPr>
        <w:t xml:space="preserve">Vintage timing effects.</w:t>
      </w:r>
      <w:r>
        <w:t xml:space="preserve"> </w:t>
      </w:r>
      <w:r>
        <w:t xml:space="preserve">The two caveats in Sections 4.1 and 4.4 — anticipation of the bonus-depreciation phase-down, and the section 174 capitalization requirement in effect from 2022 — run in opposite directions on the equipment and research shares respectively. Neither is quantified here, and a single-vintage estimate cannot separate them from the underlying composition.</w:t>
      </w:r>
    </w:p>
    <w:p>
      <w:pPr>
        <w:pStyle w:val="BodyText"/>
      </w:pPr>
      <w:r>
        <w:rPr>
          <w:bCs/>
          <w:b/>
        </w:rPr>
        <w:t xml:space="preserve">Residual basis reductions not added back.</w:t>
      </w:r>
      <w:r>
        <w:t xml:space="preserve"> </w:t>
      </w:r>
      <w:r>
        <w:t xml:space="preserve">See the end of Section 4.1. Small, and symmetric across vintages.</w:t>
      </w:r>
    </w:p>
    <w:bookmarkEnd w:id="52"/>
    <w:bookmarkStart w:id="53" w:name="appendix-a.-input-data-by-vintage"/>
    <w:p>
      <w:pPr>
        <w:pStyle w:val="Heading1"/>
      </w:pPr>
      <w:r>
        <w:t xml:space="preserve">Appendix A. Input data by vintage</w:t>
      </w:r>
    </w:p>
    <w:p>
      <w:pPr>
        <w:pStyle w:val="FirstParagraph"/>
      </w:pPr>
      <w:r>
        <w:t xml:space="preserve">Each run is identified by the tax-year vintage of its investment-flow data.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TY 2016</w:t>
            </w:r>
          </w:p>
        </w:tc>
        <w:tc>
          <w:tcPr/>
          <w:p>
            <w:pPr>
              <w:pStyle w:val="Compact"/>
              <w:jc w:val="left"/>
            </w:pPr>
            <w:r>
              <w:t xml:space="preserve">TY 2019</w:t>
            </w:r>
          </w:p>
        </w:tc>
        <w:tc>
          <w:tcPr/>
          <w:p>
            <w:pPr>
              <w:pStyle w:val="Compact"/>
              <w:jc w:val="left"/>
            </w:pPr>
            <w:r>
              <w:t xml:space="preserve">TY 2022</w:t>
            </w:r>
          </w:p>
        </w:tc>
      </w:tr>
      <w:tr>
        <w:tc>
          <w:tcPr/>
          <w:p>
            <w:pPr>
              <w:pStyle w:val="Compact"/>
              <w:jc w:val="left"/>
            </w:pPr>
            <w:r>
              <w:t xml:space="preserve">Depreciable property</w:t>
            </w:r>
          </w:p>
        </w:tc>
        <w:tc>
          <w:tcPr/>
          <w:p>
            <w:pPr>
              <w:pStyle w:val="Compact"/>
              <w:jc w:val="left"/>
            </w:pPr>
            <w:r>
              <w:t xml:space="preserve">Form 4562 Table 13.1 —</w:t>
            </w:r>
            <w:r>
              <w:t xml:space="preserve"> </w:t>
            </w:r>
            <w:r>
              <w:rPr>
                <w:rStyle w:val="VerbatimChar"/>
              </w:rPr>
              <w:t xml:space="preserve">16co13ccr</w:t>
            </w:r>
          </w:p>
        </w:tc>
        <w:tc>
          <w:tcPr/>
          <w:p>
            <w:pPr>
              <w:pStyle w:val="Compact"/>
              <w:jc w:val="left"/>
            </w:pPr>
            <w:r>
              <w:t xml:space="preserve">Table 13 —</w:t>
            </w:r>
            <w:r>
              <w:t xml:space="preserve"> </w:t>
            </w:r>
            <w:r>
              <w:rPr>
                <w:rStyle w:val="VerbatimChar"/>
              </w:rPr>
              <w:t xml:space="preserve">19co13ccr</w:t>
            </w:r>
          </w:p>
        </w:tc>
        <w:tc>
          <w:tcPr/>
          <w:p>
            <w:pPr>
              <w:pStyle w:val="Compact"/>
              <w:jc w:val="left"/>
            </w:pPr>
            <w:r>
              <w:t xml:space="preserve">Table 13 —</w:t>
            </w:r>
            <w:r>
              <w:t xml:space="preserve"> </w:t>
            </w:r>
            <w:r>
              <w:rPr>
                <w:rStyle w:val="VerbatimChar"/>
              </w:rPr>
              <w:t xml:space="preserve">22co13ccr</w:t>
            </w:r>
          </w:p>
        </w:tc>
      </w:tr>
      <w:tr>
        <w:tc>
          <w:tcPr/>
          <w:p>
            <w:pPr>
              <w:pStyle w:val="Compact"/>
              <w:jc w:val="left"/>
            </w:pPr>
            <w:r>
              <w:t xml:space="preserve">Inventory and land, by industry</w:t>
            </w:r>
          </w:p>
        </w:tc>
        <w:tc>
          <w:tcPr/>
          <w:p>
            <w:pPr>
              <w:pStyle w:val="Compact"/>
              <w:jc w:val="left"/>
            </w:pPr>
            <w:r>
              <w:t xml:space="preserve">Tables 5.1 and 6.1, current and prior year —</w:t>
            </w:r>
            <w:r>
              <w:t xml:space="preserve"> </w:t>
            </w:r>
            <w:r>
              <w:rPr>
                <w:rStyle w:val="VerbatimChar"/>
              </w:rPr>
              <w:t xml:space="preserve">16co51ccr</w:t>
            </w:r>
            <w:r>
              <w:t xml:space="preserve">,</w:t>
            </w:r>
            <w:r>
              <w:t xml:space="preserve"> </w:t>
            </w:r>
            <w:r>
              <w:rPr>
                <w:rStyle w:val="VerbatimChar"/>
              </w:rPr>
              <w:t xml:space="preserve">15co51ccr</w:t>
            </w:r>
            <w:r>
              <w:t xml:space="preserve">,</w:t>
            </w:r>
            <w:r>
              <w:t xml:space="preserve"> </w:t>
            </w:r>
            <w:r>
              <w:rPr>
                <w:rStyle w:val="VerbatimChar"/>
              </w:rPr>
              <w:t xml:space="preserve">16co61ccr</w:t>
            </w:r>
            <w:r>
              <w:t xml:space="preserve">,</w:t>
            </w:r>
            <w:r>
              <w:t xml:space="preserve"> </w:t>
            </w:r>
            <w:r>
              <w:rPr>
                <w:rStyle w:val="VerbatimChar"/>
              </w:rPr>
              <w:t xml:space="preserve">15co61ccr</w:t>
            </w:r>
          </w:p>
        </w:tc>
        <w:tc>
          <w:tcPr/>
          <w:p>
            <w:pPr>
              <w:pStyle w:val="Compact"/>
              <w:jc w:val="left"/>
            </w:pPr>
            <w:r>
              <w:rPr>
                <w:rStyle w:val="VerbatimChar"/>
              </w:rPr>
              <w:t xml:space="preserve">19co51ccr</w:t>
            </w:r>
            <w:r>
              <w:t xml:space="preserve">,</w:t>
            </w:r>
            <w:r>
              <w:t xml:space="preserve"> </w:t>
            </w:r>
            <w:r>
              <w:rPr>
                <w:rStyle w:val="VerbatimChar"/>
              </w:rPr>
              <w:t xml:space="preserve">18co51ccr</w:t>
            </w:r>
            <w:r>
              <w:t xml:space="preserve">,</w:t>
            </w:r>
            <w:r>
              <w:t xml:space="preserve"> </w:t>
            </w:r>
            <w:r>
              <w:rPr>
                <w:rStyle w:val="VerbatimChar"/>
              </w:rPr>
              <w:t xml:space="preserve">19co61ccr</w:t>
            </w:r>
            <w:r>
              <w:t xml:space="preserve">,</w:t>
            </w:r>
            <w:r>
              <w:t xml:space="preserve"> </w:t>
            </w:r>
            <w:r>
              <w:rPr>
                <w:rStyle w:val="VerbatimChar"/>
              </w:rPr>
              <w:t xml:space="preserve">18co61ccr</w:t>
            </w:r>
          </w:p>
        </w:tc>
        <w:tc>
          <w:tcPr/>
          <w:p>
            <w:pPr>
              <w:pStyle w:val="Compact"/>
              <w:jc w:val="left"/>
            </w:pPr>
            <w:r>
              <w:rPr>
                <w:rStyle w:val="VerbatimChar"/>
              </w:rPr>
              <w:t xml:space="preserve">22co51ccr</w:t>
            </w:r>
            <w:r>
              <w:t xml:space="preserve">,</w:t>
            </w:r>
            <w:r>
              <w:t xml:space="preserve"> </w:t>
            </w:r>
            <w:r>
              <w:rPr>
                <w:rStyle w:val="VerbatimChar"/>
              </w:rPr>
              <w:t xml:space="preserve">21co51ccr</w:t>
            </w:r>
            <w:r>
              <w:t xml:space="preserve">,</w:t>
            </w:r>
            <w:r>
              <w:t xml:space="preserve"> </w:t>
            </w:r>
            <w:r>
              <w:rPr>
                <w:rStyle w:val="VerbatimChar"/>
              </w:rPr>
              <w:t xml:space="preserve">22co61ccr</w:t>
            </w:r>
            <w:r>
              <w:t xml:space="preserve">,</w:t>
            </w:r>
            <w:r>
              <w:t xml:space="preserve"> </w:t>
            </w:r>
            <w:r>
              <w:rPr>
                <w:rStyle w:val="VerbatimChar"/>
              </w:rPr>
              <w:t xml:space="preserve">21co61ccr</w:t>
            </w:r>
          </w:p>
        </w:tc>
      </w:tr>
      <w:tr>
        <w:tc>
          <w:tcPr/>
          <w:p>
            <w:pPr>
              <w:pStyle w:val="Compact"/>
              <w:jc w:val="left"/>
            </w:pPr>
            <w:r>
              <w:t xml:space="preserve">Balance-sheet totals, diagnostics</w:t>
            </w:r>
          </w:p>
        </w:tc>
        <w:tc>
          <w:tcPr/>
          <w:p>
            <w:pPr>
              <w:pStyle w:val="Compact"/>
              <w:jc w:val="left"/>
            </w:pPr>
            <w:r>
              <w:t xml:space="preserve">Publication 16 Table 2.1 —</w:t>
            </w:r>
            <w:r>
              <w:t xml:space="preserve"> </w:t>
            </w:r>
            <w:r>
              <w:rPr>
                <w:rStyle w:val="VerbatimChar"/>
              </w:rPr>
              <w:t xml:space="preserve">16co21ccr</w:t>
            </w:r>
          </w:p>
        </w:tc>
        <w:tc>
          <w:tcPr/>
          <w:p>
            <w:pPr>
              <w:pStyle w:val="Compact"/>
              <w:jc w:val="left"/>
            </w:pPr>
            <w:r>
              <w:rPr>
                <w:rStyle w:val="VerbatimChar"/>
              </w:rPr>
              <w:t xml:space="preserve">19co21ccr</w:t>
            </w:r>
            <w:r>
              <w:t xml:space="preserve">,</w:t>
            </w:r>
            <w:r>
              <w:t xml:space="preserve"> </w:t>
            </w:r>
            <w:r>
              <w:rPr>
                <w:rStyle w:val="VerbatimChar"/>
              </w:rPr>
              <w:t xml:space="preserve">18co21ccr</w:t>
            </w:r>
          </w:p>
        </w:tc>
        <w:tc>
          <w:tcPr/>
          <w:p>
            <w:pPr>
              <w:pStyle w:val="Compact"/>
              <w:jc w:val="left"/>
            </w:pPr>
            <w:r>
              <w:rPr>
                <w:rStyle w:val="VerbatimChar"/>
              </w:rPr>
              <w:t xml:space="preserve">22co21ccr</w:t>
            </w:r>
            <w:r>
              <w:t xml:space="preserve">,</w:t>
            </w:r>
            <w:r>
              <w:t xml:space="preserve"> </w:t>
            </w:r>
            <w:r>
              <w:rPr>
                <w:rStyle w:val="VerbatimChar"/>
              </w:rPr>
              <w:t xml:space="preserve">21co21ccr</w:t>
            </w:r>
          </w:p>
        </w:tc>
      </w:tr>
      <w:tr>
        <w:tc>
          <w:tcPr/>
          <w:p>
            <w:pPr>
              <w:pStyle w:val="Compact"/>
              <w:jc w:val="left"/>
            </w:pPr>
            <w:r>
              <w:t xml:space="preserve">R&amp;D</w:t>
            </w:r>
          </w:p>
        </w:tc>
        <w:tc>
          <w:tcPr/>
          <w:p>
            <w:pPr>
              <w:pStyle w:val="Compact"/>
              <w:jc w:val="left"/>
            </w:pPr>
            <w:r>
              <w:t xml:space="preserve">BRDIS 2016, NSF 19-318 Table 10 —</w:t>
            </w:r>
            <w:r>
              <w:t xml:space="preserve"> </w:t>
            </w:r>
            <w:r>
              <w:rPr>
                <w:rStyle w:val="VerbatimChar"/>
              </w:rPr>
              <w:t xml:space="preserve">brdis16-dst-tab010</w:t>
            </w:r>
          </w:p>
        </w:tc>
        <w:tc>
          <w:tcPr/>
          <w:p>
            <w:pPr>
              <w:pStyle w:val="Compact"/>
              <w:jc w:val="left"/>
            </w:pPr>
            <w:r>
              <w:t xml:space="preserve">BERD 2019, NSF 22-329 Table 10 —</w:t>
            </w:r>
            <w:r>
              <w:t xml:space="preserve"> </w:t>
            </w:r>
            <w:r>
              <w:rPr>
                <w:rStyle w:val="VerbatimChar"/>
              </w:rPr>
              <w:t xml:space="preserve">nsf22329-tab010</w:t>
            </w:r>
          </w:p>
        </w:tc>
        <w:tc>
          <w:tcPr/>
          <w:p>
            <w:pPr>
              <w:pStyle w:val="Compact"/>
              <w:jc w:val="left"/>
            </w:pPr>
            <w:r>
              <w:t xml:space="preserve">BERD 2022, NSF 24-335 Table 10 —</w:t>
            </w:r>
            <w:r>
              <w:t xml:space="preserve"> </w:t>
            </w:r>
            <w:r>
              <w:rPr>
                <w:rStyle w:val="VerbatimChar"/>
              </w:rPr>
              <w:t xml:space="preserve">nsf24335-tab010</w:t>
            </w:r>
          </w:p>
        </w:tc>
      </w:tr>
      <w:tr>
        <w:tc>
          <w:tcPr/>
          <w:p>
            <w:pPr>
              <w:pStyle w:val="Compact"/>
              <w:jc w:val="left"/>
            </w:pPr>
            <w:r>
              <w:t xml:space="preserve">Partnership (all-firms)</w:t>
            </w:r>
          </w:p>
        </w:tc>
        <w:tc>
          <w:tcPr/>
          <w:p>
            <w:pPr>
              <w:pStyle w:val="Compact"/>
              <w:jc w:val="left"/>
            </w:pPr>
            <w:r>
              <w:t xml:space="preserve">Schedule L —</w:t>
            </w:r>
            <w:r>
              <w:t xml:space="preserve"> </w:t>
            </w:r>
            <w:r>
              <w:rPr>
                <w:rStyle w:val="VerbatimChar"/>
              </w:rPr>
              <w:t xml:space="preserve">16pa03</w:t>
            </w:r>
            <w:r>
              <w:t xml:space="preserve">,</w:t>
            </w:r>
            <w:r>
              <w:t xml:space="preserve"> </w:t>
            </w:r>
            <w:r>
              <w:rPr>
                <w:rStyle w:val="VerbatimChar"/>
              </w:rPr>
              <w:t xml:space="preserve">15pa03</w:t>
            </w:r>
          </w:p>
        </w:tc>
        <w:tc>
          <w:tcPr/>
          <w:p>
            <w:pPr>
              <w:pStyle w:val="Compact"/>
              <w:jc w:val="left"/>
            </w:pPr>
            <w:r>
              <w:rPr>
                <w:rStyle w:val="VerbatimChar"/>
              </w:rPr>
              <w:t xml:space="preserve">19pa03</w:t>
            </w:r>
            <w:r>
              <w:t xml:space="preserve">,</w:t>
            </w:r>
            <w:r>
              <w:t xml:space="preserve"> </w:t>
            </w:r>
            <w:r>
              <w:rPr>
                <w:rStyle w:val="VerbatimChar"/>
              </w:rPr>
              <w:t xml:space="preserve">18pa03</w:t>
            </w:r>
          </w:p>
        </w:tc>
        <w:tc>
          <w:tcPr/>
          <w:p>
            <w:pPr>
              <w:pStyle w:val="Compact"/>
              <w:jc w:val="left"/>
            </w:pPr>
            <w:r>
              <w:rPr>
                <w:rStyle w:val="VerbatimChar"/>
              </w:rPr>
              <w:t xml:space="preserve">22pa03</w:t>
            </w:r>
            <w:r>
              <w:t xml:space="preserve">,</w:t>
            </w:r>
            <w:r>
              <w:t xml:space="preserve"> </w:t>
            </w:r>
            <w:r>
              <w:rPr>
                <w:rStyle w:val="VerbatimChar"/>
              </w:rPr>
              <w:t xml:space="preserve">21pa03</w:t>
            </w:r>
          </w:p>
        </w:tc>
      </w:tr>
      <w:tr>
        <w:tc>
          <w:tcPr/>
          <w:p>
            <w:pPr>
              <w:pStyle w:val="Compact"/>
              <w:jc w:val="left"/>
            </w:pPr>
            <w:r>
              <w:t xml:space="preserve">S-corporation fallback</w:t>
            </w:r>
          </w:p>
        </w:tc>
        <w:tc>
          <w:tcPr/>
          <w:p>
            <w:pPr>
              <w:pStyle w:val="Compact"/>
              <w:jc w:val="left"/>
            </w:pPr>
            <w:r>
              <w:t xml:space="preserve">Source Book TY 2013 —</w:t>
            </w:r>
            <w:r>
              <w:t xml:space="preserve"> </w:t>
            </w:r>
            <w:r>
              <w:rPr>
                <w:rStyle w:val="VerbatimChar"/>
              </w:rPr>
              <w:t xml:space="preserve">2013sb1</w:t>
            </w:r>
            <w:r>
              <w:t xml:space="preserve">,</w:t>
            </w:r>
            <w:r>
              <w:t xml:space="preserve"> </w:t>
            </w:r>
            <w:r>
              <w:rPr>
                <w:rStyle w:val="VerbatimChar"/>
              </w:rPr>
              <w:t xml:space="preserve">2013sb3</w:t>
            </w:r>
            <w:r>
              <w:t xml:space="preserve"> </w:t>
            </w:r>
            <w:r>
              <w:t xml:space="preserve">(year-independent)</w:t>
            </w:r>
          </w:p>
        </w:tc>
        <w:tc>
          <w:tcPr/>
          <w:p>
            <w:pPr>
              <w:pStyle w:val="Compact"/>
            </w:pPr>
          </w:p>
        </w:tc>
        <w:tc>
          <w:tcPr/>
          <w:p>
            <w:pPr>
              <w:pStyle w:val="Compact"/>
            </w:pPr>
          </w:p>
        </w:tc>
      </w:tr>
    </w:tbl>
    <w:p>
      <w:pPr>
        <w:pStyle w:val="BodyText"/>
      </w:pPr>
      <w:r>
        <w:rPr>
          <w:iCs/>
          <w:i/>
        </w:rPr>
        <w:t xml:space="preserve">The NSB Science and Engineering Indicators DISC-3 table is no longer used for TY 2022. It reports manufacturing subsectors plus NAICS 51, 52 and 54 and collapses all other nonmanufacturing industries into a single line, which dropped 6.5 percent of national R&amp;D; the BERD detailed table reports the same industries as the other vintages.</w:t>
      </w:r>
    </w:p>
    <w:bookmarkEnd w:id="53"/>
    <w:bookmarkStart w:id="54" w:name="X2d78c0460638f2228dd79e35d8f1db067f49811"/>
    <w:p>
      <w:pPr>
        <w:pStyle w:val="Heading1"/>
      </w:pPr>
      <w:r>
        <w:t xml:space="preserve">Appendix B. Recovery-period to asset-category mapping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Form 4562 row</w:t>
            </w:r>
          </w:p>
        </w:tc>
        <w:tc>
          <w:tcPr/>
          <w:p>
            <w:pPr>
              <w:pStyle w:val="Compact"/>
              <w:jc w:val="left"/>
            </w:pPr>
            <w:r>
              <w:t xml:space="preserve">Asset category</w:t>
            </w:r>
          </w:p>
        </w:tc>
      </w:tr>
      <w:tr>
        <w:tc>
          <w:tcPr/>
          <w:p>
            <w:pPr>
              <w:pStyle w:val="Compact"/>
              <w:jc w:val="left"/>
            </w:pPr>
            <w:r>
              <w:t xml:space="preserve">Section 179; special depreciation allowance; 3-, 5-, 7-, 10-, 15-, 20-year MACRS; listed property; 12-year ADS</w:t>
            </w:r>
          </w:p>
        </w:tc>
        <w:tc>
          <w:tcPr/>
          <w:p>
            <w:pPr>
              <w:pStyle w:val="Compact"/>
              <w:jc w:val="left"/>
            </w:pPr>
            <w:r>
              <w:t xml:space="preserve">Equipment</w:t>
            </w:r>
          </w:p>
        </w:tc>
      </w:tr>
      <w:tr>
        <w:tc>
          <w:tcPr/>
          <w:p>
            <w:pPr>
              <w:pStyle w:val="Compact"/>
              <w:jc w:val="left"/>
            </w:pPr>
            <w:r>
              <w:t xml:space="preserve">25-year MACRS (water utility property)</w:t>
            </w:r>
          </w:p>
        </w:tc>
        <w:tc>
          <w:tcPr/>
          <w:p>
            <w:pPr>
              <w:pStyle w:val="Compact"/>
              <w:jc w:val="left"/>
            </w:pPr>
            <w:r>
              <w:t xml:space="preserve">Power structures</w:t>
            </w:r>
          </w:p>
        </w:tc>
      </w:tr>
      <w:tr>
        <w:tc>
          <w:tcPr/>
          <w:p>
            <w:pPr>
              <w:pStyle w:val="Compact"/>
              <w:jc w:val="left"/>
            </w:pPr>
            <w:r>
              <w:t xml:space="preserve">27.5-year MACRS; 30-year ADS</w:t>
            </w:r>
          </w:p>
        </w:tc>
        <w:tc>
          <w:tcPr/>
          <w:p>
            <w:pPr>
              <w:pStyle w:val="Compact"/>
              <w:jc w:val="left"/>
            </w:pPr>
            <w:r>
              <w:t xml:space="preserve">Residential structures</w:t>
            </w:r>
          </w:p>
        </w:tc>
      </w:tr>
      <w:tr>
        <w:tc>
          <w:tcPr/>
          <w:p>
            <w:pPr>
              <w:pStyle w:val="Compact"/>
              <w:jc w:val="left"/>
            </w:pPr>
            <w:r>
              <w:t xml:space="preserve">39-year MACRS; 40-year ADS</w:t>
            </w:r>
          </w:p>
        </w:tc>
        <w:tc>
          <w:tcPr/>
          <w:p>
            <w:pPr>
              <w:pStyle w:val="Compact"/>
              <w:jc w:val="left"/>
            </w:pPr>
            <w:r>
              <w:t xml:space="preserve">Nonresidential structure, by industry (manufacturing, oil/gas/mining, power, farm, communications, or commercial/health care)</w:t>
            </w:r>
          </w:p>
        </w:tc>
      </w:tr>
      <w:tr>
        <w:tc>
          <w:tcPr/>
          <w:p>
            <w:pPr>
              <w:pStyle w:val="Compact"/>
              <w:jc w:val="left"/>
            </w:pPr>
            <w:r>
              <w:t xml:space="preserve">50-year MACRS (railroad grading, tunnel bores)</w:t>
            </w:r>
          </w:p>
        </w:tc>
        <w:tc>
          <w:tcPr/>
          <w:p>
            <w:pPr>
              <w:pStyle w:val="Compact"/>
              <w:jc w:val="left"/>
            </w:pPr>
            <w:r>
              <w:t xml:space="preserve">Other nonresidential structures</w:t>
            </w:r>
          </w:p>
        </w:tc>
      </w:tr>
      <w:tr>
        <w:tc>
          <w:tcPr/>
          <w:p>
            <w:pPr>
              <w:pStyle w:val="Compact"/>
              <w:jc w:val="left"/>
            </w:pPr>
            <w:r>
              <w:t xml:space="preserve">Class-life ADS (heterogeneous)</w:t>
            </w:r>
          </w:p>
        </w:tc>
        <w:tc>
          <w:tcPr/>
          <w:p>
            <w:pPr>
              <w:pStyle w:val="Compact"/>
              <w:jc w:val="left"/>
            </w:pPr>
            <w:r>
              <w:t xml:space="preserve">Excluded from headline specification</w:t>
            </w:r>
          </w:p>
        </w:tc>
      </w:tr>
    </w:tbl>
    <w:p>
      <w:pPr>
        <w:pStyle w:val="BodyText"/>
      </w:pPr>
      <w:r>
        <w:rPr>
          <w:iCs/>
          <w:i/>
        </w:rPr>
        <w:t xml:space="preserve">Inventory, land, and R&amp;D enter from their own sources (Sections 4.2 to 4.4) rather than from Form 4562. The 30-year ADS row does not exist before TY 2018, when the TCJA created it for residential rental property; its absence from the TY 2016 table is correct law rather than a gap in the data.</w:t>
      </w:r>
    </w:p>
    <w:bookmarkEnd w:id="54"/>
    <w:bookmarkStart w:id="55" w:name="X43ac52cd201837e21a20e2e7ce1983050553459"/>
    <w:p>
      <w:pPr>
        <w:pStyle w:val="Heading1"/>
      </w:pPr>
      <w:r>
        <w:t xml:space="preserve">Appendix C. Rate schedules and their sources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Schedule</w:t>
            </w:r>
          </w:p>
        </w:tc>
        <w:tc>
          <w:tcPr/>
          <w:p>
            <w:pPr>
              <w:pStyle w:val="Compact"/>
              <w:jc w:val="left"/>
            </w:pPr>
            <w:r>
              <w:t xml:space="preserve">Source</w:t>
            </w:r>
          </w:p>
        </w:tc>
        <w:tc>
          <w:tcPr/>
          <w:p>
            <w:pPr>
              <w:pStyle w:val="Compact"/>
              <w:jc w:val="left"/>
            </w:pPr>
            <w:r>
              <w:t xml:space="preserve">Categories</w:t>
            </w:r>
          </w:p>
        </w:tc>
        <w:tc>
          <w:tcPr/>
          <w:p>
            <w:pPr>
              <w:pStyle w:val="Compact"/>
              <w:jc w:val="left"/>
            </w:pPr>
            <w:r>
              <w:t xml:space="preserve">Finance</w:t>
            </w:r>
          </w:p>
        </w:tc>
        <w:tc>
          <w:tcPr/>
          <w:p>
            <w:pPr>
              <w:pStyle w:val="Compact"/>
              <w:jc w:val="left"/>
            </w:pPr>
            <w:r>
              <w:t xml:space="preserve">Used in</w:t>
            </w:r>
          </w:p>
        </w:tc>
      </w:tr>
      <w:tr>
        <w:tc>
          <w:tcPr/>
          <w:p>
            <w:pPr>
              <w:pStyle w:val="Compact"/>
              <w:jc w:val="left"/>
            </w:pPr>
            <w:r>
              <w:t xml:space="preserve">Corporate and noncorporate, post-OBBBA</w:t>
            </w:r>
          </w:p>
        </w:tc>
        <w:tc>
          <w:tcPr/>
          <w:p>
            <w:pPr>
              <w:pStyle w:val="Compact"/>
              <w:jc w:val="left"/>
            </w:pPr>
            <w:r>
              <w:t xml:space="preserve">R48631 Table 2, OBBBA</w:t>
            </w:r>
          </w:p>
        </w:tc>
        <w:tc>
          <w:tcPr/>
          <w:p>
            <w:pPr>
              <w:pStyle w:val="Compact"/>
              <w:jc w:val="left"/>
            </w:pPr>
            <w:r>
              <w:t xml:space="preserve">12</w:t>
            </w:r>
          </w:p>
        </w:tc>
        <w:tc>
          <w:tcPr/>
          <w:p>
            <w:pPr>
              <w:pStyle w:val="Compact"/>
              <w:jc w:val="left"/>
            </w:pPr>
            <w:r>
              <w:t xml:space="preserve">Mixed</w:t>
            </w:r>
          </w:p>
        </w:tc>
        <w:tc>
          <w:tcPr/>
          <w:p>
            <w:pPr>
              <w:pStyle w:val="Compact"/>
              <w:jc w:val="left"/>
            </w:pPr>
            <w:r>
              <w:t xml:space="preserve">Part 1 headline</w:t>
            </w:r>
          </w:p>
        </w:tc>
      </w:tr>
      <w:tr>
        <w:tc>
          <w:tcPr/>
          <w:p>
            <w:pPr>
              <w:pStyle w:val="Compact"/>
              <w:jc w:val="left"/>
            </w:pPr>
            <w:r>
              <w:t xml:space="preserve">Corporate and noncorporate, 2025 prior law</w:t>
            </w:r>
          </w:p>
        </w:tc>
        <w:tc>
          <w:tcPr/>
          <w:p>
            <w:pPr>
              <w:pStyle w:val="Compact"/>
              <w:jc w:val="left"/>
            </w:pPr>
            <w:r>
              <w:t xml:space="preserve">R48631 Table 2, Prior Law</w:t>
            </w:r>
          </w:p>
        </w:tc>
        <w:tc>
          <w:tcPr/>
          <w:p>
            <w:pPr>
              <w:pStyle w:val="Compact"/>
              <w:jc w:val="left"/>
            </w:pPr>
            <w:r>
              <w:t xml:space="preserve">12</w:t>
            </w:r>
          </w:p>
        </w:tc>
        <w:tc>
          <w:tcPr/>
          <w:p>
            <w:pPr>
              <w:pStyle w:val="Compact"/>
              <w:jc w:val="left"/>
            </w:pPr>
            <w:r>
              <w:t xml:space="preserve">Mixed</w:t>
            </w:r>
          </w:p>
        </w:tc>
        <w:tc>
          <w:tcPr/>
          <w:p>
            <w:pPr>
              <w:pStyle w:val="Compact"/>
              <w:jc w:val="left"/>
            </w:pPr>
            <w:r>
              <w:t xml:space="preserve">Regime comparison at Part 1 granularity</w:t>
            </w:r>
          </w:p>
        </w:tc>
      </w:tr>
      <w:tr>
        <w:tc>
          <w:tcPr/>
          <w:p>
            <w:pPr>
              <w:pStyle w:val="Compact"/>
              <w:jc w:val="left"/>
            </w:pPr>
            <w:r>
              <w:t xml:space="preserve">Corporate and noncorporate, post-OBBBA</w:t>
            </w:r>
          </w:p>
        </w:tc>
        <w:tc>
          <w:tcPr/>
          <w:p>
            <w:pPr>
              <w:pStyle w:val="Compact"/>
              <w:jc w:val="left"/>
            </w:pPr>
            <w:r>
              <w:t xml:space="preserve">R48631 Table 3</w:t>
            </w:r>
          </w:p>
        </w:tc>
        <w:tc>
          <w:tcPr/>
          <w:p>
            <w:pPr>
              <w:pStyle w:val="Compact"/>
              <w:jc w:val="left"/>
            </w:pPr>
            <w:r>
              <w:t xml:space="preserve">12</w:t>
            </w:r>
          </w:p>
        </w:tc>
        <w:tc>
          <w:tcPr/>
          <w:p>
            <w:pPr>
              <w:pStyle w:val="Compact"/>
              <w:jc w:val="left"/>
            </w:pPr>
            <w:r>
              <w:t xml:space="preserve">Equity</w:t>
            </w:r>
          </w:p>
        </w:tc>
        <w:tc>
          <w:tcPr/>
          <w:p>
            <w:pPr>
              <w:pStyle w:val="Compact"/>
              <w:jc w:val="left"/>
            </w:pPr>
            <w:r>
              <w:t xml:space="preserve">Equity robustness; repricing slope (8.2)</w:t>
            </w:r>
          </w:p>
        </w:tc>
      </w:tr>
      <w:tr>
        <w:tc>
          <w:tcPr/>
          <w:p>
            <w:pPr>
              <w:pStyle w:val="Compact"/>
              <w:jc w:val="left"/>
            </w:pPr>
            <w:r>
              <w:t xml:space="preserve">Corporate and noncorporate, post-OBBBA</w:t>
            </w:r>
          </w:p>
        </w:tc>
        <w:tc>
          <w:tcPr/>
          <w:p>
            <w:pPr>
              <w:pStyle w:val="Compact"/>
              <w:jc w:val="left"/>
            </w:pPr>
            <w:r>
              <w:t xml:space="preserve">R48631 Table 4</w:t>
            </w:r>
          </w:p>
        </w:tc>
        <w:tc>
          <w:tcPr/>
          <w:p>
            <w:pPr>
              <w:pStyle w:val="Compact"/>
              <w:jc w:val="left"/>
            </w:pPr>
            <w:r>
              <w:t xml:space="preserve">12</w:t>
            </w:r>
          </w:p>
        </w:tc>
        <w:tc>
          <w:tcPr/>
          <w:p>
            <w:pPr>
              <w:pStyle w:val="Compact"/>
              <w:jc w:val="left"/>
            </w:pPr>
            <w:r>
              <w:t xml:space="preserve">Debt</w:t>
            </w:r>
          </w:p>
        </w:tc>
        <w:tc>
          <w:tcPr/>
          <w:p>
            <w:pPr>
              <w:pStyle w:val="Compact"/>
              <w:jc w:val="left"/>
            </w:pPr>
            <w:r>
              <w:t xml:space="preserve">Debt robustness; repricing slope (8.2)</w:t>
            </w:r>
          </w:p>
        </w:tc>
      </w:tr>
      <w:tr>
        <w:tc>
          <w:tcPr/>
          <w:p>
            <w:pPr>
              <w:pStyle w:val="Compact"/>
              <w:jc w:val="left"/>
            </w:pPr>
            <w:r>
              <w:t xml:space="preserve">Corporate and noncorporate, 2017 / 2018 / 2024 / 2027</w:t>
            </w:r>
          </w:p>
        </w:tc>
        <w:tc>
          <w:tcPr/>
          <w:p>
            <w:pPr>
              <w:pStyle w:val="Compact"/>
              <w:jc w:val="left"/>
            </w:pPr>
            <w:r>
              <w:t xml:space="preserve">R48153 Table 4</w:t>
            </w:r>
          </w:p>
        </w:tc>
        <w:tc>
          <w:tcPr/>
          <w:p>
            <w:pPr>
              <w:pStyle w:val="Compact"/>
              <w:jc w:val="left"/>
            </w:pPr>
            <w:r>
              <w:t xml:space="preserve">8</w:t>
            </w:r>
          </w:p>
        </w:tc>
        <w:tc>
          <w:tcPr/>
          <w:p>
            <w:pPr>
              <w:pStyle w:val="Compact"/>
              <w:jc w:val="left"/>
            </w:pPr>
            <w:r>
              <w:t xml:space="preserve">Equity</w:t>
            </w:r>
          </w:p>
        </w:tc>
        <w:tc>
          <w:tcPr/>
          <w:p>
            <w:pPr>
              <w:pStyle w:val="Compact"/>
              <w:jc w:val="left"/>
            </w:pPr>
            <w:r>
              <w:t xml:space="preserve">Part 2</w:t>
            </w:r>
          </w:p>
        </w:tc>
      </w:tr>
      <w:tr>
        <w:tc>
          <w:tcPr/>
          <w:p>
            <w:pPr>
              <w:pStyle w:val="Compact"/>
              <w:jc w:val="left"/>
            </w:pPr>
            <w:r>
              <w:t xml:space="preserve">Corporate and noncorporate, post-OBBBA</w:t>
            </w:r>
          </w:p>
        </w:tc>
        <w:tc>
          <w:tcPr/>
          <w:p>
            <w:pPr>
              <w:pStyle w:val="Compact"/>
              <w:jc w:val="left"/>
            </w:pPr>
            <w:r>
              <w:t xml:space="preserve">R48631 Table 3, structures aggregate</w:t>
            </w:r>
          </w:p>
        </w:tc>
        <w:tc>
          <w:tcPr/>
          <w:p>
            <w:pPr>
              <w:pStyle w:val="Compact"/>
              <w:jc w:val="left"/>
            </w:pPr>
            <w:r>
              <w:t xml:space="preserve">8</w:t>
            </w:r>
          </w:p>
        </w:tc>
        <w:tc>
          <w:tcPr/>
          <w:p>
            <w:pPr>
              <w:pStyle w:val="Compact"/>
              <w:jc w:val="left"/>
            </w:pPr>
            <w:r>
              <w:t xml:space="preserve">Equity</w:t>
            </w:r>
          </w:p>
        </w:tc>
        <w:tc>
          <w:tcPr/>
          <w:p>
            <w:pPr>
              <w:pStyle w:val="Compact"/>
              <w:jc w:val="left"/>
            </w:pPr>
            <w:r>
              <w:t xml:space="preserve">Part 2</w:t>
            </w:r>
          </w:p>
        </w:tc>
      </w:tr>
      <w:tr>
        <w:tc>
          <w:tcPr/>
          <w:p>
            <w:pPr>
              <w:pStyle w:val="Compact"/>
              <w:jc w:val="left"/>
            </w:pPr>
            <w:r>
              <w:t xml:space="preserve">Corporate and noncorporate, 2017 / 2018 / 2024 / 2027</w:t>
            </w:r>
          </w:p>
        </w:tc>
        <w:tc>
          <w:tcPr/>
          <w:p>
            <w:pPr>
              <w:pStyle w:val="Compact"/>
              <w:jc w:val="left"/>
            </w:pPr>
            <w:r>
              <w:t xml:space="preserve">R48153 Table 5</w:t>
            </w:r>
          </w:p>
        </w:tc>
        <w:tc>
          <w:tcPr/>
          <w:p>
            <w:pPr>
              <w:pStyle w:val="Compact"/>
              <w:jc w:val="left"/>
            </w:pPr>
            <w:r>
              <w:t xml:space="preserve">8</w:t>
            </w:r>
          </w:p>
        </w:tc>
        <w:tc>
          <w:tcPr/>
          <w:p>
            <w:pPr>
              <w:pStyle w:val="Compact"/>
              <w:jc w:val="left"/>
            </w:pPr>
            <w:r>
              <w:t xml:space="preserve">Debt</w:t>
            </w:r>
          </w:p>
        </w:tc>
        <w:tc>
          <w:tcPr/>
          <w:p>
            <w:pPr>
              <w:pStyle w:val="Compact"/>
              <w:jc w:val="left"/>
            </w:pPr>
            <w:r>
              <w:t xml:space="preserve">Consistency check only</w:t>
            </w:r>
          </w:p>
        </w:tc>
      </w:tr>
    </w:tbl>
    <w:p>
      <w:pPr>
        <w:pStyle w:val="BodyText"/>
      </w:pPr>
      <w:r>
        <w:rPr>
          <w:iCs/>
          <w:i/>
        </w:rPr>
        <w:t xml:space="preserve">Seventeen schedules in total, each recorded in the code with its regime, granularity, financing basis, and source table. The debt-financed historical schedules are not recommended as a basis for constructing mixed-finance rates for R&amp;D: the METR is 1 − R/P and the pretax return approaches zero, which R48153 warns about explicitly — corporate 2017 R&amp;D is −437.4 percent — and the result cannot be validated, because Table 3 publishes only the intangible aggregate for mixed finance.</w:t>
      </w:r>
    </w:p>
    <w:p>
      <w:pPr>
        <w:pStyle w:val="BodyText"/>
      </w:pPr>
      <w:r>
        <w:rPr>
          <w:iCs/>
          <w:i/>
        </w:rPr>
        <w:t xml:space="preserve">Sector aggregates for cross-reference are in R48631 Tables 5 and 7 and R48153 Table 6. Those are CRS’s own stock-weighted, mixed-finance figures and are not directly comparable to the flow-weighted estimates reported here; they differ in weighting scheme as well as in asset coverage, and the coverage basis (all assets, excluding land, or excluding land and inventories) must be matched before any comparison. No published CRS aggregate exists on an equity-financed basis, so no comparator is available for Part 2.</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Marginal Effective Tax Rates on Marginal Investment</dc:title>
  <dc:creator>Methodology note</dc:creator>
  <cp:keywords/>
  <dcterms:created xsi:type="dcterms:W3CDTF">2026-08-08T18:24:33Z</dcterms:created>
  <dcterms:modified xsi:type="dcterms:W3CDTF">2026-08-08T18:24:33Z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Industry-Level and Economy-Wide Estimates, and a Comparison of Pre-TCJA and Post-OBBBA Law</vt:lpwstr>
  </property>
</Properties>
</file>