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drawing>
          <wp:inline distT="0" distB="0" distL="0" distR="0">
            <wp:extent cx="1333500" cy="352425"/>
            <wp:effectExtent t="0" r="0" b="0" l="0"/>
            <wp:docPr id="1" name="viax-logo" descr="viax.io logo" title="viax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5ED49A"/>
          <w:spacing w:val="80"/>
          <w:sz w:val="20"/>
          <w:szCs w:val="20"/>
        </w:rPr>
        <w:t xml:space="preserve">DISCOVERY MEETING PREP</w:t>
      </w:r>
    </w:p>
    <w:p>
      <w:pPr>
        <w:spacing w:after="200" w:before="100"/>
      </w:pPr>
      <w:r>
        <w:rPr>
          <w:rFonts w:ascii="Calibri" w:cs="Calibri" w:eastAsia="Calibri" w:hAnsi="Calibri"/>
          <w:color w:val="1E1E1E"/>
          <w:sz w:val="72"/>
          <w:szCs w:val="72"/>
        </w:rPr>
        <w:t xml:space="preserve">AutoTrust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52"/>
          <w:szCs w:val="52"/>
        </w:rPr>
        <w:t xml:space="preserve">POC Scoping</w:t>
      </w:r>
    </w:p>
    <w:p>
      <w:pPr>
        <w:pBdr>
          <w:bottom w:val="single" w:color="5ED49A" w:sz="6"/>
        </w:pBdr>
        <w:spacing w:after="120" w:before="12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E1E1E"/>
          <w:sz w:val="22"/>
          <w:szCs w:val="22"/>
        </w:rPr>
        <w:t xml:space="preserve">Date: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March 11, 2026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1E1E"/>
          <w:sz w:val="22"/>
          <w:szCs w:val="22"/>
        </w:rPr>
        <w:t xml:space="preserve">POC Focus: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Dealer onboarding + co-op purchasing, with marketplace preview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1E1E"/>
          <w:sz w:val="22"/>
          <w:szCs w:val="22"/>
        </w:rPr>
        <w:t xml:space="preserve">Audience: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Business stakeholders + technical architect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Meeting Objective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By end of this meeting, we should have clear answers on: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The dealer data model — who is a “dealer”: single location, franchise group, or both?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One real onboarding workflow we can replicate in the POC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One real purchasing scenario with actual product categories and pricing logic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Enough supplier context to mock a realistic catalog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The technical architect’s requirements for platform fit: integration patterns, scale, multi-tenancy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Agreement on POC scope and timeline to deliver it</w:t>
      </w:r>
    </w:p>
    <w:p>
      <w:pPr>
        <w:pBdr>
          <w:bottom w:val="single" w:color="5ED49A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1.  Dealer Structure and Identity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This is foundational. Every other feature depends on how we model “dealer” in viax.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5ED49A"/>
          <w:spacing w:val="60"/>
          <w:sz w:val="18"/>
          <w:szCs w:val="18"/>
        </w:rPr>
        <w:t xml:space="preserve">WHAT WE NEED TO UNDERSTAND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What defines a dealer in the co-op? Single rooftop, dealership group, or both?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Do multi-location dealers exist? Does each location have independent purchasing and reporting, or does the parent group see everything?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How are dealers tiered today? What determines the tier — volume, tenure, product mix, geography?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How many dealers are active today? Expected count in 12 months?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Is there a dealer identifier you use today (member ID, account number)?</w:t>
      </w:r>
    </w:p>
    <w:p>
      <w:pPr>
        <w:pBdr>
          <w:left w:val="single" w:color="90E9B8" w:sz="12" w:space="8"/>
        </w:pBdr>
        <w:spacing w:after="160" w:before="120" w:line="276"/>
        <w:ind w:left="360"/>
      </w:pPr>
      <w:r>
        <w:rPr>
          <w:rFonts w:ascii="Calibri" w:cs="Calibri" w:eastAsia="Calibri" w:hAnsi="Calibri"/>
          <w:b/>
          <w:bCs/>
          <w:color w:val="1E1E1E"/>
          <w:sz w:val="20"/>
          <w:szCs w:val="20"/>
        </w:rPr>
        <w:t xml:space="preserve">Why this matters for the POC: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We need to model the party hierarchy correctly. A flat dealer list vs. a parent-child dealer group with location rollups is a completely different data model. Getting this wrong means the reporting and pricing logic won’t ring true.</w:t>
      </w:r>
    </w:p>
    <w:p>
      <w:pPr>
        <w:pBdr>
          <w:bottom w:val="single" w:color="5ED49A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2.  Dealer Onboarding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This is the first thing a dealer touches. It sets the tone for the entire platform experience.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5ED49A"/>
          <w:spacing w:val="60"/>
          <w:sz w:val="18"/>
          <w:szCs w:val="18"/>
        </w:rPr>
        <w:t xml:space="preserve">WHAT WE NEED TO UNDERSTAND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Walk us through what happens today when a new dealer joins. Who initiates it? What information do you collect? How long end-to-end?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What documents are required (W-9, insurance certs, dealer license, agreements)? Uploaded or emailed?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Who approves a new dealer? Single approver or multiple (compliance, finance, regional manager)?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What happens after approval — what does the dealer get access to? Welcome sequence or just credentials?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Where do dealers get stuck or drop off today?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Are there different onboarding paths for different dealer types or tiers?</w:t>
      </w:r>
    </w:p>
    <w:p>
      <w:pPr>
        <w:pBdr>
          <w:left w:val="single" w:color="90E9B8" w:sz="12" w:space="8"/>
        </w:pBdr>
        <w:spacing w:after="160" w:before="120" w:line="276"/>
        <w:ind w:left="360"/>
      </w:pPr>
      <w:r>
        <w:rPr>
          <w:rFonts w:ascii="Calibri" w:cs="Calibri" w:eastAsia="Calibri" w:hAnsi="Calibri"/>
          <w:b/>
          <w:bCs/>
          <w:color w:val="1E1E1E"/>
          <w:sz w:val="20"/>
          <w:szCs w:val="20"/>
        </w:rPr>
        <w:t xml:space="preserve">Why this matters for the POC: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We want to show a real onboarding flow, not a generic form. If we can replicate their actual steps with their actual fields and documents, the POC feels like their platform, not a template.</w:t>
      </w:r>
    </w:p>
    <w:p>
      <w:pPr>
        <w:pBdr>
          <w:bottom w:val="single" w:color="5ED49A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3.  Co-Op Purchasing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This is where the money moves. It needs to feel familiar but dramatically better.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5ED49A"/>
          <w:spacing w:val="60"/>
          <w:sz w:val="18"/>
          <w:szCs w:val="18"/>
        </w:rPr>
        <w:t xml:space="preserve">WHAT WE NEED TO UNDERSTAND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What do dealers actually buy through the co-op today? Concrete categories: F&amp;I products, parts, accessories, training, services.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How many suppliers are in the program? Five or fifty?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How does pricing work? Volume-based (hit X, unlock Y price), flat negotiated rates per tier, or a mix?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Does pricing change per dealer based on tier, location, or purchase history?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What does the purchase flow look like today? Phone, email, portal, spreadsheet?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Once a dealer places an order, what happens? Who fulfills — AutoTrust or the supplier directly?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How does the dealer know order status? Any tracking today?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Are there minimum order quantities, approval thresholds, or budget caps per dealer?</w:t>
      </w:r>
    </w:p>
    <w:p>
      <w:pPr>
        <w:pBdr>
          <w:left w:val="single" w:color="90E9B8" w:sz="12" w:space="8"/>
        </w:pBdr>
        <w:spacing w:after="160" w:before="120" w:line="276"/>
        <w:ind w:left="360"/>
      </w:pPr>
      <w:r>
        <w:rPr>
          <w:rFonts w:ascii="Calibri" w:cs="Calibri" w:eastAsia="Calibri" w:hAnsi="Calibri"/>
          <w:b/>
          <w:bCs/>
          <w:color w:val="1E1E1E"/>
          <w:sz w:val="20"/>
          <w:szCs w:val="20"/>
        </w:rPr>
        <w:t xml:space="preserve">Why this matters for the POC: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We need two or three real product categories with realistic pricing logic to build a catalog that feels authentic. We also need to know whether orders route to AutoTrust or directly to suppliers — that changes the order management model.</w:t>
      </w:r>
    </w:p>
    <w:p>
      <w:pPr>
        <w:pBdr>
          <w:bottom w:val="single" w:color="5ED49A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4.  Marketplace Preview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We’re not building a full marketplace in the POC, but we want to show the vision. These questions help us mock it credibly.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5ED49A"/>
          <w:spacing w:val="60"/>
          <w:sz w:val="18"/>
          <w:szCs w:val="18"/>
        </w:rPr>
        <w:t xml:space="preserve">WHAT WE NEED TO UNDERSTAND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Beyond core co-op purchasing, what additional products or services do you want dealers to discover?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Is the marketplace concept about giving suppliers self-service listing, or is it AutoTrust-curated?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Would different dealers see different offerings based on tier, region, or purchase history?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Is there a revenue model — does AutoTrust take a margin on marketplace transactions?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Are there any suppliers already asking for this kind of channel?</w:t>
      </w:r>
    </w:p>
    <w:p>
      <w:pPr>
        <w:pBdr>
          <w:left w:val="single" w:color="90E9B8" w:sz="12" w:space="8"/>
        </w:pBdr>
        <w:spacing w:after="160" w:before="120" w:line="276"/>
        <w:ind w:left="360"/>
      </w:pPr>
      <w:r>
        <w:rPr>
          <w:rFonts w:ascii="Calibri" w:cs="Calibri" w:eastAsia="Calibri" w:hAnsi="Calibri"/>
          <w:b/>
          <w:bCs/>
          <w:color w:val="1E1E1E"/>
          <w:sz w:val="20"/>
          <w:szCs w:val="20"/>
        </w:rPr>
        <w:t xml:space="preserve">Why this matters for the POC: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We’ll show a marketplace view in the POC with a handful of curated offerings to demonstrate the “what could be.” These answers let us pick products that resonate instead of making them up.</w:t>
      </w:r>
    </w:p>
    <w:p>
      <w:pPr>
        <w:pBdr>
          <w:bottom w:val="single" w:color="5ED49A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5.  Reporting and Visibility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Reporting is often where executive buy-in happens. “I can finally see what’s going on.”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5ED49A"/>
          <w:spacing w:val="60"/>
          <w:sz w:val="18"/>
          <w:szCs w:val="18"/>
        </w:rPr>
        <w:t xml:space="preserve">WHAT WE NEED TO UNDERSTAND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What does AutoTrust leadership want to see that they can’t see today? What’s the dashboard they wish they had?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At the dealer level, what do dealers care about — spend, status, savings vs. street price?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Is quota attainment tracked today? Where does that data live?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Do you report to suppliers on dealer performance? What do those reports look like?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Is there a regional or territory structure we should reflect in reporting?</w:t>
      </w:r>
    </w:p>
    <w:p>
      <w:pPr>
        <w:pBdr>
          <w:left w:val="single" w:color="90E9B8" w:sz="12" w:space="8"/>
        </w:pBdr>
        <w:spacing w:after="160" w:before="120" w:line="276"/>
        <w:ind w:left="360"/>
      </w:pPr>
      <w:r>
        <w:rPr>
          <w:rFonts w:ascii="Calibri" w:cs="Calibri" w:eastAsia="Calibri" w:hAnsi="Calibri"/>
          <w:b/>
          <w:bCs/>
          <w:color w:val="1E1E1E"/>
          <w:sz w:val="20"/>
          <w:szCs w:val="20"/>
        </w:rPr>
        <w:t xml:space="preserve">Why this matters for the POC: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We won’t build a full reporting suite in the POC, but we can show a few key views that demonstrate the data model supports the visibility they need.</w:t>
      </w:r>
    </w:p>
    <w:p>
      <w:pPr>
        <w:pBdr>
          <w:bottom w:val="single" w:color="5ED49A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6.  Integration Landscape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This section is for the technical architect. We need to understand what exists today so we can show how viax connects.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5ED49A"/>
          <w:spacing w:val="60"/>
          <w:sz w:val="18"/>
          <w:szCs w:val="18"/>
        </w:rPr>
        <w:t xml:space="preserve">WHAT WE NEED TO UNDERSTAND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What systems are in play today? Any existing portals, CRMs, ERPs, or custom-built tools?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How do suppliers interact with AutoTrust today — APIs, EDI, email, spreadsheets, portals?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Is there a single source of truth for dealer data, or is it scattered?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Are there any systems that absolutely must integrate from day one?</w:t>
      </w:r>
    </w:p>
    <w:p>
      <w:pPr>
        <w:spacing w:after="100" w:before="100" w:line="276"/>
        <w:ind w:left="360"/>
      </w:pPr>
      <w:r>
        <w:rPr>
          <w:rFonts w:ascii="Calibri" w:cs="Calibri" w:eastAsia="Calibri" w:hAnsi="Calibri"/>
          <w:b/>
          <w:bCs/>
          <w:color w:val="5ED49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1E1E"/>
          <w:sz w:val="22"/>
          <w:szCs w:val="22"/>
        </w:rPr>
        <w:t xml:space="preserve">What does the IT team look like — internal developers, outsourced, or first platform investment?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5ED49A"/>
          <w:spacing w:val="60"/>
          <w:sz w:val="18"/>
          <w:szCs w:val="18"/>
        </w:rPr>
        <w:t xml:space="preserve">FOR THE TECHNICAL ARCHITECT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viax is headless and API-first. The POC demonstrates a custom frontend consuming viax APIs. The same APIs that power the POC power production.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Multi-tenancy is native — AutoTrust is the tenant, dealers are scoped within it, catalog visibility and pricing are entitlement-driven.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The data model is extensible. Party, Product, Order, and BusinessInteraction are core entities that map directly to dealer, catalog item, purchase, and application.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Integration is via REST/GraphQL APIs. Supplier integrations can be event-driven or batch.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We’re not asking to rip and replace. viax sits alongside existing systems and becomes the orchestration layer over time.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Proposed POC Scope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Based on what we know, here’s what we’d propose building. We’ll refine based on today’s answers.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5ED49A"/>
          <w:spacing w:val="60"/>
          <w:sz w:val="18"/>
          <w:szCs w:val="18"/>
        </w:rPr>
        <w:t xml:space="preserve">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E8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D49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Dealer onboarding flow (application, document upload, approval, activation)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E8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D49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Co-op product catalog with real categories and tier-based pricing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E8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D49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Purchase flow (browse, cart, checkout, order confirmation)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E8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D49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Dealer dashboard (my orders, my status, my catalog)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E8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D49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AutoTrust admin view (dealer pipeline, order activity, catalog management)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E8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D49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Marketplace teaser (curated add-on products, browse and detail view)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4444"/>
                <w:sz w:val="22"/>
                <w:szCs w:val="22"/>
              </w:rPr>
              <w:t xml:space="preserve">—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Live supplier integrations (simulated with mock data in POC)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4444"/>
                <w:sz w:val="22"/>
                <w:szCs w:val="22"/>
              </w:rPr>
              <w:t xml:space="preserve">—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Full reporting suite (key views shown, full build in Phase 2)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4444"/>
                <w:sz w:val="22"/>
                <w:szCs w:val="22"/>
              </w:rPr>
              <w:t xml:space="preserve">—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F&amp;I application routing (complex workflow, Phase 2 conversation)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4444"/>
                <w:sz w:val="22"/>
                <w:szCs w:val="22"/>
              </w:rPr>
              <w:t xml:space="preserve">—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Targeted offer campaigns (depends on quota data availability)</w:t>
            </w:r>
          </w:p>
        </w:tc>
      </w:tr>
      <w:tr>
        <w:tc>
          <w:tcPr>
            <w:tcW w:type="dxa" w:w="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4444"/>
                <w:sz w:val="22"/>
                <w:szCs w:val="22"/>
              </w:rPr>
              <w:t xml:space="preserve">—</w:t>
            </w:r>
          </w:p>
        </w:tc>
        <w:tc>
          <w:tcPr>
            <w:tcW w:type="dxa" w:w="876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1E"/>
                <w:sz w:val="22"/>
                <w:szCs w:val="22"/>
              </w:rPr>
              <w:t xml:space="preserve">Email/notification system (architecture described, not built)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Suggested Meeting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c>
          <w:tcPr>
            <w:tcW w:type="dxa" w:w="1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3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Recap and agenda</w:t>
            </w:r>
          </w:p>
        </w:tc>
        <w:tc>
          <w:tcPr>
            <w:tcW w:type="dxa" w:w="4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Align on what we’re here to nail down</w:t>
            </w:r>
          </w:p>
        </w:tc>
      </w:tr>
      <w:tr>
        <w:tc>
          <w:tcPr>
            <w:tcW w:type="dxa" w:w="1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0:05 – 0:20</w:t>
            </w:r>
          </w:p>
        </w:tc>
        <w:tc>
          <w:tcPr>
            <w:tcW w:type="dxa" w:w="3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Dealer structure + onboarding</w:t>
            </w:r>
          </w:p>
        </w:tc>
        <w:tc>
          <w:tcPr>
            <w:tcW w:type="dxa" w:w="4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Map the real workflow and data model</w:t>
            </w:r>
          </w:p>
        </w:tc>
      </w:tr>
      <w:tr>
        <w:tc>
          <w:tcPr>
            <w:tcW w:type="dxa" w:w="1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0:20 – 0:40</w:t>
            </w:r>
          </w:p>
        </w:tc>
        <w:tc>
          <w:tcPr>
            <w:tcW w:type="dxa" w:w="3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Co-op purchasing deep dive</w:t>
            </w:r>
          </w:p>
        </w:tc>
        <w:tc>
          <w:tcPr>
            <w:tcW w:type="dxa" w:w="4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Get product categories, pricing logic, order flow</w:t>
            </w:r>
          </w:p>
        </w:tc>
      </w:tr>
      <w:tr>
        <w:tc>
          <w:tcPr>
            <w:tcW w:type="dxa" w:w="1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0:40 – 0:50</w:t>
            </w:r>
          </w:p>
        </w:tc>
        <w:tc>
          <w:tcPr>
            <w:tcW w:type="dxa" w:w="3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Marketplace + reporting vision</w:t>
            </w:r>
          </w:p>
        </w:tc>
        <w:tc>
          <w:tcPr>
            <w:tcW w:type="dxa" w:w="4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Understand the dream state</w:t>
            </w:r>
          </w:p>
        </w:tc>
      </w:tr>
      <w:tr>
        <w:tc>
          <w:tcPr>
            <w:tcW w:type="dxa" w:w="1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0:50 – 0:55</w:t>
            </w:r>
          </w:p>
        </w:tc>
        <w:tc>
          <w:tcPr>
            <w:tcW w:type="dxa" w:w="3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Technical architecture Q&amp;A</w:t>
            </w:r>
          </w:p>
        </w:tc>
        <w:tc>
          <w:tcPr>
            <w:tcW w:type="dxa" w:w="4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Address platform fit for the architect</w:t>
            </w:r>
          </w:p>
        </w:tc>
      </w:tr>
      <w:tr>
        <w:tc>
          <w:tcPr>
            <w:tcW w:type="dxa" w:w="1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0:55 – 1:00</w:t>
            </w:r>
          </w:p>
        </w:tc>
        <w:tc>
          <w:tcPr>
            <w:tcW w:type="dxa" w:w="3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POC scope + next steps</w:t>
            </w:r>
          </w:p>
        </w:tc>
        <w:tc>
          <w:tcPr>
            <w:tcW w:type="dxa" w:w="428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E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Confirm what we’re building and timeline</w:t>
            </w:r>
          </w:p>
        </w:tc>
      </w:tr>
    </w:tbl>
    <w:p>
      <w:pPr>
        <w:pBdr>
          <w:bottom w:val="single" w:color="5ED49A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color w:val="1E1E1E"/>
          <w:sz w:val="36"/>
          <w:szCs w:val="36"/>
        </w:rPr>
        <w:t xml:space="preserve">Open Items from First Meeting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Things we flagged but didn’t resolve. Worth raising to size the full opportunity.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color w:val="2A2A2A"/>
          <w:sz w:val="26"/>
          <w:szCs w:val="26"/>
        </w:rPr>
        <w:t xml:space="preserve">F&amp;I Application Flow Complexity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Is AutoTrust a broker (stays in the middle) or an aggregator (connects and steps back)? This determines whether the common application is a form-routing exercise or a full workflow engine. Defer to Phase 2 but worth asking to size the opportunity.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color w:val="2A2A2A"/>
          <w:sz w:val="26"/>
          <w:szCs w:val="26"/>
        </w:rPr>
        <w:t xml:space="preserve">Quota Data Source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Targeted offers depend on knowing which dealers are underperforming. If that data doesn’t exist in a clean format today, the campaign feature needs a data-entry or import story first.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color w:val="2A2A2A"/>
          <w:sz w:val="26"/>
          <w:szCs w:val="26"/>
        </w:rPr>
        <w:t xml:space="preserve">Supplier Self-Service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Does AutoTrust want suppliers managing their own catalog entries and pricing, or is AutoTrust the gatekeeper? Changes the admin surface significantly.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C" w:sz="2" w:space="4"/>
      </w:pBdr>
      <w:tabs>
        <w:tab w:val="right" w:pos="9026"/>
      </w:tabs>
    </w:pPr>
    <w:r>
      <w:rPr>
        <w:rFonts w:ascii="Calibri" w:cs="Calibri" w:eastAsia="Calibri" w:hAnsi="Calibri"/>
        <w:color w:val="8A8A8A"/>
        <w:sz w:val="16"/>
        <w:szCs w:val="16"/>
      </w:rPr>
      <w:t xml:space="preserve">Confidential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A8A8A"/>
        <w:sz w:val="16"/>
        <w:szCs w:val="16"/>
      </w:rPr>
      <w:t xml:space="preserve">Page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8A8A"/>
        <w:sz w:val="16"/>
        <w:szCs w:val="16"/>
      </w:rPr>
      <w:t xml:space="preserve">AutoTrust Discovery Meeting  |  viax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color w:val="1E1E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color w:val="1E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36d8ca28642ffa16ee09c2ba3a9f9a05131b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2026-03-11T02:05:08.259Z</dcterms:created>
  <dcterms:modified xsi:type="dcterms:W3CDTF">2026-03-11T02:05:08.260Z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