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3CC09C" w14:textId="243F7637" w:rsidR="0016385D" w:rsidRPr="00465D79" w:rsidRDefault="00465D79" w:rsidP="00465D79">
      <w:pPr>
        <w:pStyle w:val="PaperTitle"/>
      </w:pPr>
      <w:r>
        <w:t>Increasing Flow Capacity Of Existing Injection Water Pipeline Through Injection Of Chemicals Schmoo Remover To Clean Solid Deposits In Injection Water Pipeline At PT. Pertamina Hulu Energy Ogan Komering</w:t>
      </w:r>
    </w:p>
    <w:p w14:paraId="2CC5053E" w14:textId="375939F6" w:rsidR="00BD26F1" w:rsidRPr="005C7E3C" w:rsidRDefault="00616905" w:rsidP="00BD26F1">
      <w:pPr>
        <w:pStyle w:val="AuthorName"/>
        <w:spacing w:after="0"/>
        <w:rPr>
          <w:szCs w:val="28"/>
        </w:rPr>
      </w:pPr>
      <w:r w:rsidRPr="005C7E3C">
        <w:rPr>
          <w:szCs w:val="28"/>
        </w:rPr>
        <w:t>Feby Zulkarnain</w:t>
      </w:r>
      <w:r w:rsidR="005C7E3C" w:rsidRPr="005C7E3C">
        <w:rPr>
          <w:szCs w:val="28"/>
        </w:rPr>
        <w:t xml:space="preserve"> And Dr. Ir. Dyah Rini Ratnaningsih, M.T.</w:t>
      </w:r>
    </w:p>
    <w:p w14:paraId="75117126" w14:textId="77777777" w:rsidR="005C7E3C" w:rsidRPr="005C7E3C" w:rsidRDefault="005C7E3C" w:rsidP="005C7E3C">
      <w:pPr>
        <w:pStyle w:val="AuthorAffiliation"/>
      </w:pPr>
    </w:p>
    <w:p w14:paraId="7C1AB0B0" w14:textId="5717E1C6" w:rsidR="00BD26F1" w:rsidRPr="005C7E3C" w:rsidRDefault="005C7E3C" w:rsidP="00BD26F1">
      <w:pPr>
        <w:pStyle w:val="AuthorAffiliation"/>
        <w:rPr>
          <w:i w:val="0"/>
          <w:iCs/>
        </w:rPr>
      </w:pPr>
      <w:r w:rsidRPr="005C7E3C">
        <w:rPr>
          <w:i w:val="0"/>
          <w:iCs/>
        </w:rPr>
        <w:t>Study Program Magister Of Petroleum Engineering</w:t>
      </w:r>
    </w:p>
    <w:p w14:paraId="47C9E16B" w14:textId="05356E6E" w:rsidR="00BD26F1" w:rsidRPr="005C7E3C" w:rsidRDefault="005C7E3C" w:rsidP="00BD26F1">
      <w:pPr>
        <w:pStyle w:val="AuthorAffiliation"/>
        <w:rPr>
          <w:i w:val="0"/>
          <w:iCs/>
        </w:rPr>
      </w:pPr>
      <w:r w:rsidRPr="005C7E3C">
        <w:rPr>
          <w:i w:val="0"/>
          <w:iCs/>
        </w:rPr>
        <w:t>Pembangunan Nasional University Of Veteran</w:t>
      </w:r>
      <w:r w:rsidR="00D75F21">
        <w:rPr>
          <w:i w:val="0"/>
          <w:iCs/>
        </w:rPr>
        <w:t xml:space="preserve"> Yogyakarta</w:t>
      </w:r>
      <w:bookmarkStart w:id="0" w:name="_GoBack"/>
      <w:bookmarkEnd w:id="0"/>
    </w:p>
    <w:p w14:paraId="4E48C63F" w14:textId="11AF8C74" w:rsidR="00001006" w:rsidRPr="005C7E3C" w:rsidRDefault="005C7E3C" w:rsidP="00BD26F1">
      <w:pPr>
        <w:pStyle w:val="AuthorAffiliation"/>
        <w:rPr>
          <w:i w:val="0"/>
          <w:iCs/>
        </w:rPr>
      </w:pPr>
      <w:r w:rsidRPr="005C7E3C">
        <w:rPr>
          <w:i w:val="0"/>
          <w:iCs/>
        </w:rPr>
        <w:t>Jl. SWK 104 (Lingkar Utara),</w:t>
      </w:r>
      <w:r w:rsidR="00D75F21">
        <w:rPr>
          <w:i w:val="0"/>
          <w:iCs/>
        </w:rPr>
        <w:t xml:space="preserve"> Condongcatur, Yogyakarta 55283</w:t>
      </w:r>
    </w:p>
    <w:p w14:paraId="0B3CC0A0" w14:textId="263167F8" w:rsidR="003A5C85" w:rsidRDefault="003A5C85" w:rsidP="00BD26F1">
      <w:pPr>
        <w:pStyle w:val="AuthorAffiliation"/>
      </w:pPr>
      <w:r w:rsidRPr="005C7E3C">
        <w:rPr>
          <w:i w:val="0"/>
          <w:iCs/>
        </w:rPr>
        <w:br/>
      </w:r>
      <w:hyperlink r:id="rId6" w:history="1">
        <w:r w:rsidR="005C7E3C" w:rsidRPr="002B7CA1">
          <w:rPr>
            <w:rStyle w:val="Hyperlink"/>
          </w:rPr>
          <w:t>feby.zulkarnain@gmail.com</w:t>
        </w:r>
      </w:hyperlink>
    </w:p>
    <w:p w14:paraId="59BDB2F5" w14:textId="68E4C684" w:rsidR="005C7E3C" w:rsidRPr="005C7E3C" w:rsidRDefault="00D75F21" w:rsidP="005C7E3C">
      <w:pPr>
        <w:pStyle w:val="AuthorAffiliation"/>
        <w:rPr>
          <w:color w:val="0000FF"/>
          <w:u w:val="single"/>
        </w:rPr>
      </w:pPr>
      <w:hyperlink r:id="rId7" w:history="1">
        <w:r w:rsidR="005C7E3C" w:rsidRPr="005C7E3C">
          <w:rPr>
            <w:rStyle w:val="Hyperlink"/>
          </w:rPr>
          <w:t>rini_diah@yahoo.com</w:t>
        </w:r>
      </w:hyperlink>
    </w:p>
    <w:p w14:paraId="7BC20A80" w14:textId="4F06D025" w:rsidR="00996A85" w:rsidRPr="00996A85" w:rsidRDefault="0016385D" w:rsidP="00996A85">
      <w:pPr>
        <w:pStyle w:val="Abstract"/>
        <w:rPr>
          <w:rFonts w:eastAsiaTheme="minorHAnsi"/>
          <w:sz w:val="24"/>
          <w:szCs w:val="24"/>
        </w:rPr>
      </w:pPr>
      <w:r w:rsidRPr="00996A85">
        <w:rPr>
          <w:b/>
          <w:bCs/>
          <w:sz w:val="24"/>
          <w:szCs w:val="24"/>
        </w:rPr>
        <w:t>Abstract.</w:t>
      </w:r>
      <w:r w:rsidRPr="00996A85">
        <w:rPr>
          <w:sz w:val="24"/>
          <w:szCs w:val="24"/>
        </w:rPr>
        <w:t xml:space="preserve"> </w:t>
      </w:r>
      <w:r w:rsidR="0064049A" w:rsidRPr="00996A85">
        <w:rPr>
          <w:sz w:val="24"/>
          <w:szCs w:val="24"/>
        </w:rPr>
        <w:t>PT. Pertamina Hulu Energi Ogan Komering (PHE OK) is one of the KKKS (Cooperation Contract Contractors) with the Gross Split mechanism operating in the Ogan Komering Block working area in Ogan Komering Ulu, Ogan Ilir and Muara Enim, South Sumatra Province</w:t>
      </w:r>
      <w:r w:rsidR="00996A85" w:rsidRPr="00996A85">
        <w:rPr>
          <w:sz w:val="24"/>
          <w:szCs w:val="24"/>
        </w:rPr>
        <w:t xml:space="preserve">. Water injection began in 1998, by injecting excess water in abandoned wells in Central ASD and continued in October 2000 and January 2002, </w:t>
      </w:r>
      <w:r w:rsidR="00E97764">
        <w:rPr>
          <w:sz w:val="24"/>
          <w:szCs w:val="24"/>
        </w:rPr>
        <w:t>a</w:t>
      </w:r>
      <w:r w:rsidR="00996A85" w:rsidRPr="00996A85">
        <w:rPr>
          <w:sz w:val="24"/>
          <w:szCs w:val="24"/>
        </w:rPr>
        <w:t>nd since May 2006 the injection rate was increased above 30,000 BWPD</w:t>
      </w:r>
      <w:r w:rsidR="00E97764">
        <w:rPr>
          <w:sz w:val="24"/>
          <w:szCs w:val="24"/>
        </w:rPr>
        <w:t>.</w:t>
      </w:r>
    </w:p>
    <w:p w14:paraId="07C2891C" w14:textId="77777777" w:rsidR="006A42E4" w:rsidRDefault="00996A85" w:rsidP="006A42E4">
      <w:pPr>
        <w:pStyle w:val="Abstract"/>
        <w:rPr>
          <w:sz w:val="24"/>
          <w:szCs w:val="24"/>
        </w:rPr>
      </w:pPr>
      <w:r w:rsidRPr="00996A85">
        <w:rPr>
          <w:sz w:val="24"/>
          <w:szCs w:val="24"/>
        </w:rPr>
        <w:t xml:space="preserve">From the analysis carried out, one of the obstacles in the injection water process at PHE OK is the main pipe capacity of the injection water which is getting smaller and the pressure drop along the pipe is very large. The pressure drop occurs due to the solid / deposition pile on the inside of the pipe, causing obstacles in the process of transfering injection water from the Block Station to the injection wells. </w:t>
      </w:r>
      <w:r w:rsidRPr="00996A85">
        <w:rPr>
          <w:sz w:val="24"/>
          <w:szCs w:val="24"/>
          <w:lang w:val="id-ID"/>
        </w:rPr>
        <w:t>From the laboratorium analysis, the solid deposite inside the pipe wall is consist of more than 50% organic and hydrocarbon matters (paraffin, oils, and light asphaltene) often called as “</w:t>
      </w:r>
      <w:r w:rsidRPr="00996A85">
        <w:rPr>
          <w:sz w:val="24"/>
          <w:szCs w:val="24"/>
        </w:rPr>
        <w:t>Schmoo” depsosit.</w:t>
      </w:r>
      <w:r w:rsidR="00E97764">
        <w:rPr>
          <w:sz w:val="24"/>
          <w:szCs w:val="24"/>
        </w:rPr>
        <w:t xml:space="preserve"> </w:t>
      </w:r>
      <w:r w:rsidR="00E97764">
        <w:rPr>
          <w:sz w:val="24"/>
          <w:szCs w:val="24"/>
          <w:lang w:val="id-ID"/>
        </w:rPr>
        <w:t>some pigging activities</w:t>
      </w:r>
      <w:r w:rsidR="00E97764" w:rsidRPr="00E97764">
        <w:rPr>
          <w:sz w:val="24"/>
          <w:szCs w:val="24"/>
          <w:lang w:val="id-ID"/>
        </w:rPr>
        <w:t xml:space="preserve"> cannot be done due to pipe size, pipe geometry that does not support, pipe construction that is not </w:t>
      </w:r>
      <w:r w:rsidR="00E97764">
        <w:rPr>
          <w:sz w:val="24"/>
          <w:szCs w:val="24"/>
          <w:lang w:val="id-ID"/>
        </w:rPr>
        <w:t>designed for pigging activities.</w:t>
      </w:r>
      <w:r w:rsidR="006A42E4">
        <w:rPr>
          <w:sz w:val="24"/>
          <w:szCs w:val="24"/>
        </w:rPr>
        <w:t xml:space="preserve"> To overcome the solid deposit problem, PHE OK carried out field trial of Schmoo Remover Chemical to clean the pipe without using pipe pig.</w:t>
      </w:r>
    </w:p>
    <w:p w14:paraId="1F5975BA" w14:textId="5F06BE7D" w:rsidR="00D56C96" w:rsidRDefault="006A42E4" w:rsidP="00D56C96">
      <w:pPr>
        <w:pStyle w:val="Abstract"/>
        <w:rPr>
          <w:sz w:val="24"/>
          <w:szCs w:val="24"/>
        </w:rPr>
      </w:pPr>
      <w:r>
        <w:rPr>
          <w:sz w:val="24"/>
          <w:szCs w:val="24"/>
        </w:rPr>
        <w:t>Fr</w:t>
      </w:r>
      <w:r w:rsidR="00352272">
        <w:rPr>
          <w:sz w:val="24"/>
          <w:szCs w:val="24"/>
        </w:rPr>
        <w:t xml:space="preserve">om the field trial result, the </w:t>
      </w:r>
      <w:r w:rsidRPr="006A42E4">
        <w:rPr>
          <w:sz w:val="24"/>
          <w:szCs w:val="24"/>
        </w:rPr>
        <w:t>removal resulted in a significant increa</w:t>
      </w:r>
      <w:r>
        <w:rPr>
          <w:sz w:val="24"/>
          <w:szCs w:val="24"/>
        </w:rPr>
        <w:t>se in water injection rates and an associated decrease in pipe pressure drop</w:t>
      </w:r>
      <w:r w:rsidR="00D56C96">
        <w:rPr>
          <w:sz w:val="24"/>
          <w:szCs w:val="24"/>
        </w:rPr>
        <w:t>.</w:t>
      </w:r>
    </w:p>
    <w:p w14:paraId="0B3CC0A2" w14:textId="2C194214" w:rsidR="003A287B" w:rsidRPr="000A7AD3" w:rsidRDefault="00D56C96" w:rsidP="000A7AD3">
      <w:pPr>
        <w:pStyle w:val="Abstract"/>
        <w:rPr>
          <w:sz w:val="24"/>
          <w:szCs w:val="24"/>
        </w:rPr>
      </w:pPr>
      <w:r w:rsidRPr="00D56C96">
        <w:rPr>
          <w:b/>
          <w:bCs/>
          <w:sz w:val="24"/>
          <w:szCs w:val="24"/>
        </w:rPr>
        <w:t xml:space="preserve">Key words: </w:t>
      </w:r>
      <w:r w:rsidR="005B4857">
        <w:rPr>
          <w:sz w:val="24"/>
          <w:szCs w:val="24"/>
        </w:rPr>
        <w:t>Schmoo, cleaner, solid deposit, surfactant, water injection, production maximization.</w:t>
      </w:r>
    </w:p>
    <w:p w14:paraId="0B3CC0B0" w14:textId="4031F9B4" w:rsidR="00155B67" w:rsidRDefault="004F4E9F" w:rsidP="00274622">
      <w:pPr>
        <w:pStyle w:val="Heading2"/>
        <w:rPr>
          <w:b w:val="0"/>
          <w:sz w:val="20"/>
        </w:rPr>
      </w:pPr>
      <w:r>
        <w:lastRenderedPageBreak/>
        <w:t>INTRODUCTION</w:t>
      </w:r>
      <w:r w:rsidR="0073393A" w:rsidRPr="00075EA6">
        <w:br/>
      </w:r>
    </w:p>
    <w:p w14:paraId="1C0175C1" w14:textId="77777777" w:rsidR="000A7AD3" w:rsidRDefault="000A7AD3" w:rsidP="000A7AD3">
      <w:pPr>
        <w:pStyle w:val="IsiHeading1"/>
        <w:rPr>
          <w:sz w:val="24"/>
          <w:szCs w:val="24"/>
        </w:rPr>
      </w:pPr>
      <w:r w:rsidRPr="001531AF">
        <w:rPr>
          <w:sz w:val="24"/>
          <w:szCs w:val="24"/>
        </w:rPr>
        <w:t>PT. Pertamina Hulu Energi Ogan Komering (PHE OK) is one of the KKKS (Cooperation Contract Contractors) with the Gross Split mechanism operating in the Ogan Komering Block working area in Ogan Komering Ulu, Ogan Ilir and Muara Enim, South Sumatra Province with an area of the current work is 1,155 km2 of the original total area of ​​4,630 Km2. The Ogan Komering block has experienced 3 relinquishment, namely in 1991, 1994 and 1997. The first contract was signed between Pertamina and Canada Northwest Energy (South Sumatra) Ltd. on February 29, 1988 for a period of 30 years, and ended February 28, 2018. In 1994, Talisman Energy took all Participating Interest from Canada Northwest Energy. Then in 2016 Repsol took all Participating Interest from Talisman Energy. In 2017 Jadestone Energy Canada finally took all Participating Interest from Repsol until the contract expires on May 20, 2018. After changes in Participating Interest have taken place alternately, the current operatorship holder is PT. Pertamina Hulu Energi Ogan Komering (PHE OK).</w:t>
      </w:r>
    </w:p>
    <w:p w14:paraId="7F0F2BE6" w14:textId="77777777" w:rsidR="000A7AD3" w:rsidRDefault="000A7AD3" w:rsidP="000A7AD3">
      <w:pPr>
        <w:pStyle w:val="IsiHeading1"/>
        <w:rPr>
          <w:sz w:val="24"/>
          <w:szCs w:val="24"/>
        </w:rPr>
      </w:pPr>
    </w:p>
    <w:p w14:paraId="056A050B" w14:textId="0951CFAC" w:rsidR="000A7AD3" w:rsidRDefault="000A7AD3" w:rsidP="000A7AD3">
      <w:pPr>
        <w:pStyle w:val="IsiHeading1"/>
        <w:rPr>
          <w:sz w:val="24"/>
          <w:szCs w:val="24"/>
        </w:rPr>
      </w:pPr>
      <w:r w:rsidRPr="001531AF">
        <w:rPr>
          <w:sz w:val="24"/>
          <w:szCs w:val="24"/>
        </w:rPr>
        <w:t>Water injection began in 1998, by injecting excess water in abandoned wells in Central ASD and continued in October 2000 and January 2002, on the North-East ASD field and Thunder. From the evaluation of the pressure response, PHE OK implemented a full scale waterflood by increasing injection from 8000 BWPD to 16000 BWPD. And since May 20</w:t>
      </w:r>
      <w:r>
        <w:rPr>
          <w:sz w:val="24"/>
          <w:szCs w:val="24"/>
        </w:rPr>
        <w:t>06 the injection rate was increased</w:t>
      </w:r>
      <w:r w:rsidRPr="001531AF">
        <w:rPr>
          <w:sz w:val="24"/>
          <w:szCs w:val="24"/>
        </w:rPr>
        <w:t xml:space="preserve"> above 30</w:t>
      </w:r>
      <w:r>
        <w:rPr>
          <w:sz w:val="24"/>
          <w:szCs w:val="24"/>
        </w:rPr>
        <w:t>,</w:t>
      </w:r>
      <w:r w:rsidRPr="001531AF">
        <w:rPr>
          <w:sz w:val="24"/>
          <w:szCs w:val="24"/>
        </w:rPr>
        <w:t>000 B</w:t>
      </w:r>
      <w:r>
        <w:rPr>
          <w:sz w:val="24"/>
          <w:szCs w:val="24"/>
        </w:rPr>
        <w:t>WPD for North East ASD &amp; Guruh Area</w:t>
      </w:r>
      <w:r w:rsidRPr="001531AF">
        <w:rPr>
          <w:sz w:val="24"/>
          <w:szCs w:val="24"/>
        </w:rPr>
        <w:t xml:space="preserve"> which was covered in NE-ASD-GRH waterflood POD. At present the injection water rate is at 33000 BWPD</w:t>
      </w:r>
      <w:r>
        <w:rPr>
          <w:sz w:val="24"/>
          <w:szCs w:val="24"/>
        </w:rPr>
        <w:t>.</w:t>
      </w:r>
      <w:r w:rsidR="004F4E9F">
        <w:rPr>
          <w:sz w:val="24"/>
          <w:szCs w:val="24"/>
        </w:rPr>
        <w:t xml:space="preserve"> </w:t>
      </w:r>
      <w:r>
        <w:rPr>
          <w:sz w:val="24"/>
          <w:szCs w:val="24"/>
        </w:rPr>
        <w:t>The initial water injection rate can achieved 50,000 BWPD through the 6 inch carbon steel mainline but decrease by the time until present maximum injection rate at 33,000 BWPD.</w:t>
      </w:r>
    </w:p>
    <w:p w14:paraId="4F501D95" w14:textId="77777777" w:rsidR="000A7AD3" w:rsidRDefault="000A7AD3" w:rsidP="000A7AD3">
      <w:pPr>
        <w:pStyle w:val="IsiHeading1"/>
        <w:rPr>
          <w:sz w:val="24"/>
          <w:szCs w:val="24"/>
        </w:rPr>
      </w:pPr>
    </w:p>
    <w:p w14:paraId="2D461038" w14:textId="1611B720" w:rsidR="004F4E9F" w:rsidRDefault="000A7AD3" w:rsidP="000A7AD3">
      <w:pPr>
        <w:pStyle w:val="IsiHeading1"/>
        <w:rPr>
          <w:sz w:val="24"/>
          <w:szCs w:val="24"/>
        </w:rPr>
      </w:pPr>
      <w:r w:rsidRPr="007E6068">
        <w:rPr>
          <w:sz w:val="24"/>
          <w:szCs w:val="24"/>
        </w:rPr>
        <w:t>From the analysis carried out, o</w:t>
      </w:r>
      <w:r>
        <w:rPr>
          <w:sz w:val="24"/>
          <w:szCs w:val="24"/>
        </w:rPr>
        <w:t>ne of the obstacles</w:t>
      </w:r>
      <w:r w:rsidRPr="007E6068">
        <w:rPr>
          <w:sz w:val="24"/>
          <w:szCs w:val="24"/>
        </w:rPr>
        <w:t xml:space="preserve"> in the injection water process at PHE OK is the main pipe capacity of the injection water which is getting smaller and the pressure drop along the pipe is very large. The pressure drop occurs due to the solid / deposition pile on the inside of the pipe, causing obstacl</w:t>
      </w:r>
      <w:r>
        <w:rPr>
          <w:sz w:val="24"/>
          <w:szCs w:val="24"/>
        </w:rPr>
        <w:t xml:space="preserve">es in the process of transfering </w:t>
      </w:r>
      <w:r w:rsidRPr="007E6068">
        <w:rPr>
          <w:sz w:val="24"/>
          <w:szCs w:val="24"/>
        </w:rPr>
        <w:t>injection water from the Block Station to the injection wells.</w:t>
      </w:r>
      <w:r w:rsidR="004F4E9F">
        <w:rPr>
          <w:sz w:val="24"/>
          <w:szCs w:val="24"/>
        </w:rPr>
        <w:t xml:space="preserve"> From the laboratorium analysis, the solid deposite inside the pipe wall is consist of more than 50% organic and hydrocarbon matters (paraffin, oils, and light asphaltene). </w:t>
      </w:r>
    </w:p>
    <w:p w14:paraId="4EFE80BE" w14:textId="374E6157" w:rsidR="004F4E9F" w:rsidRDefault="004F4E9F" w:rsidP="000A7AD3">
      <w:pPr>
        <w:pStyle w:val="IsiHeading1"/>
        <w:rPr>
          <w:sz w:val="24"/>
          <w:szCs w:val="24"/>
        </w:rPr>
      </w:pPr>
    </w:p>
    <w:p w14:paraId="54F9150E" w14:textId="23EDF5C1" w:rsidR="003F5EE8" w:rsidRDefault="003F5EE8" w:rsidP="003F5EE8">
      <w:pPr>
        <w:pStyle w:val="IsiHeading1"/>
        <w:jc w:val="center"/>
        <w:rPr>
          <w:sz w:val="24"/>
          <w:szCs w:val="24"/>
        </w:rPr>
      </w:pPr>
      <w:r>
        <w:rPr>
          <w:sz w:val="24"/>
          <w:szCs w:val="24"/>
        </w:rPr>
        <w:t>Tabel 1. Solid deposit analysis result</w:t>
      </w:r>
    </w:p>
    <w:tbl>
      <w:tblPr>
        <w:tblW w:w="4106" w:type="dxa"/>
        <w:jc w:val="center"/>
        <w:tblLook w:val="04A0" w:firstRow="1" w:lastRow="0" w:firstColumn="1" w:lastColumn="0" w:noHBand="0" w:noVBand="1"/>
      </w:tblPr>
      <w:tblGrid>
        <w:gridCol w:w="960"/>
        <w:gridCol w:w="1870"/>
        <w:gridCol w:w="1276"/>
      </w:tblGrid>
      <w:tr w:rsidR="004F4E9F" w:rsidRPr="004F4E9F" w14:paraId="390E4B01" w14:textId="77777777" w:rsidTr="004F4E9F">
        <w:trPr>
          <w:trHeight w:val="416"/>
          <w:jc w:val="center"/>
        </w:trPr>
        <w:tc>
          <w:tcPr>
            <w:tcW w:w="960"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6C9ADE4A" w14:textId="77777777" w:rsidR="004F4E9F" w:rsidRPr="004F4E9F" w:rsidRDefault="004F4E9F" w:rsidP="00B83185">
            <w:pPr>
              <w:jc w:val="center"/>
              <w:rPr>
                <w:b/>
                <w:bCs/>
                <w:sz w:val="20"/>
              </w:rPr>
            </w:pPr>
            <w:r w:rsidRPr="004F4E9F">
              <w:rPr>
                <w:b/>
                <w:bCs/>
                <w:sz w:val="20"/>
              </w:rPr>
              <w:t>No</w:t>
            </w:r>
          </w:p>
        </w:tc>
        <w:tc>
          <w:tcPr>
            <w:tcW w:w="1870" w:type="dxa"/>
            <w:tcBorders>
              <w:top w:val="single" w:sz="4" w:space="0" w:color="auto"/>
              <w:left w:val="nil"/>
              <w:bottom w:val="single" w:sz="4" w:space="0" w:color="auto"/>
              <w:right w:val="single" w:sz="4" w:space="0" w:color="auto"/>
            </w:tcBorders>
            <w:shd w:val="clear" w:color="000000" w:fill="C0C0C0"/>
            <w:noWrap/>
            <w:vAlign w:val="center"/>
            <w:hideMark/>
          </w:tcPr>
          <w:p w14:paraId="0C4EA051" w14:textId="77777777" w:rsidR="004F4E9F" w:rsidRPr="004F4E9F" w:rsidRDefault="004F4E9F" w:rsidP="00B83185">
            <w:pPr>
              <w:jc w:val="center"/>
              <w:rPr>
                <w:b/>
                <w:bCs/>
                <w:sz w:val="20"/>
              </w:rPr>
            </w:pPr>
            <w:r w:rsidRPr="004F4E9F">
              <w:rPr>
                <w:b/>
                <w:bCs/>
                <w:sz w:val="20"/>
              </w:rPr>
              <w:t>Test Parameter</w:t>
            </w:r>
          </w:p>
        </w:tc>
        <w:tc>
          <w:tcPr>
            <w:tcW w:w="1276" w:type="dxa"/>
            <w:tcBorders>
              <w:top w:val="single" w:sz="4" w:space="0" w:color="auto"/>
              <w:left w:val="nil"/>
              <w:bottom w:val="single" w:sz="4" w:space="0" w:color="auto"/>
              <w:right w:val="single" w:sz="4" w:space="0" w:color="auto"/>
            </w:tcBorders>
            <w:shd w:val="clear" w:color="000000" w:fill="C0C0C0"/>
            <w:noWrap/>
            <w:vAlign w:val="center"/>
            <w:hideMark/>
          </w:tcPr>
          <w:p w14:paraId="3F68F867" w14:textId="77777777" w:rsidR="004F4E9F" w:rsidRPr="004F4E9F" w:rsidRDefault="004F4E9F" w:rsidP="00B83185">
            <w:pPr>
              <w:jc w:val="center"/>
              <w:rPr>
                <w:b/>
                <w:bCs/>
                <w:sz w:val="20"/>
              </w:rPr>
            </w:pPr>
            <w:r w:rsidRPr="004F4E9F">
              <w:rPr>
                <w:b/>
                <w:bCs/>
                <w:sz w:val="20"/>
              </w:rPr>
              <w:t>% Weight</w:t>
            </w:r>
          </w:p>
        </w:tc>
      </w:tr>
      <w:tr w:rsidR="004F4E9F" w:rsidRPr="004F4E9F" w14:paraId="46D966FD" w14:textId="77777777" w:rsidTr="004F4E9F">
        <w:trPr>
          <w:trHeight w:val="422"/>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460390E" w14:textId="77777777" w:rsidR="004F4E9F" w:rsidRPr="004F4E9F" w:rsidRDefault="004F4E9F" w:rsidP="00B83185">
            <w:pPr>
              <w:jc w:val="center"/>
              <w:rPr>
                <w:sz w:val="20"/>
              </w:rPr>
            </w:pPr>
            <w:r w:rsidRPr="004F4E9F">
              <w:rPr>
                <w:sz w:val="20"/>
              </w:rPr>
              <w:t>1</w:t>
            </w:r>
          </w:p>
        </w:tc>
        <w:tc>
          <w:tcPr>
            <w:tcW w:w="1870" w:type="dxa"/>
            <w:tcBorders>
              <w:top w:val="nil"/>
              <w:left w:val="nil"/>
              <w:bottom w:val="single" w:sz="4" w:space="0" w:color="auto"/>
              <w:right w:val="single" w:sz="4" w:space="0" w:color="auto"/>
            </w:tcBorders>
            <w:shd w:val="clear" w:color="auto" w:fill="auto"/>
            <w:noWrap/>
            <w:vAlign w:val="center"/>
            <w:hideMark/>
          </w:tcPr>
          <w:p w14:paraId="2A79CA2B" w14:textId="77777777" w:rsidR="004F4E9F" w:rsidRPr="004F4E9F" w:rsidRDefault="004F4E9F" w:rsidP="00B83185">
            <w:pPr>
              <w:jc w:val="center"/>
              <w:rPr>
                <w:sz w:val="20"/>
              </w:rPr>
            </w:pPr>
            <w:r w:rsidRPr="004F4E9F">
              <w:rPr>
                <w:sz w:val="20"/>
              </w:rPr>
              <w:t>Dissolved Salt</w:t>
            </w:r>
          </w:p>
        </w:tc>
        <w:tc>
          <w:tcPr>
            <w:tcW w:w="1276" w:type="dxa"/>
            <w:tcBorders>
              <w:top w:val="nil"/>
              <w:left w:val="nil"/>
              <w:bottom w:val="single" w:sz="4" w:space="0" w:color="auto"/>
              <w:right w:val="single" w:sz="4" w:space="0" w:color="auto"/>
            </w:tcBorders>
            <w:shd w:val="clear" w:color="auto" w:fill="auto"/>
            <w:vAlign w:val="center"/>
            <w:hideMark/>
          </w:tcPr>
          <w:p w14:paraId="1D4DA5AC" w14:textId="77777777" w:rsidR="004F4E9F" w:rsidRPr="004F4E9F" w:rsidRDefault="004F4E9F" w:rsidP="00B83185">
            <w:pPr>
              <w:jc w:val="center"/>
              <w:rPr>
                <w:sz w:val="20"/>
              </w:rPr>
            </w:pPr>
            <w:r w:rsidRPr="004F4E9F">
              <w:rPr>
                <w:sz w:val="20"/>
              </w:rPr>
              <w:t>10%</w:t>
            </w:r>
          </w:p>
        </w:tc>
      </w:tr>
      <w:tr w:rsidR="004F4E9F" w:rsidRPr="004F4E9F" w14:paraId="7C5104F9" w14:textId="77777777" w:rsidTr="004F4E9F">
        <w:trPr>
          <w:trHeight w:val="91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D50D7E5" w14:textId="77777777" w:rsidR="004F4E9F" w:rsidRPr="004F4E9F" w:rsidRDefault="004F4E9F" w:rsidP="00B83185">
            <w:pPr>
              <w:jc w:val="center"/>
              <w:rPr>
                <w:sz w:val="20"/>
              </w:rPr>
            </w:pPr>
            <w:r w:rsidRPr="004F4E9F">
              <w:rPr>
                <w:sz w:val="20"/>
              </w:rPr>
              <w:t>2</w:t>
            </w:r>
          </w:p>
        </w:tc>
        <w:tc>
          <w:tcPr>
            <w:tcW w:w="1870" w:type="dxa"/>
            <w:tcBorders>
              <w:top w:val="nil"/>
              <w:left w:val="nil"/>
              <w:bottom w:val="single" w:sz="4" w:space="0" w:color="auto"/>
              <w:right w:val="single" w:sz="4" w:space="0" w:color="auto"/>
            </w:tcBorders>
            <w:shd w:val="clear" w:color="auto" w:fill="auto"/>
            <w:vAlign w:val="center"/>
            <w:hideMark/>
          </w:tcPr>
          <w:p w14:paraId="417739D1" w14:textId="77777777" w:rsidR="004F4E9F" w:rsidRPr="004F4E9F" w:rsidRDefault="004F4E9F" w:rsidP="00B83185">
            <w:pPr>
              <w:jc w:val="center"/>
              <w:rPr>
                <w:sz w:val="20"/>
              </w:rPr>
            </w:pPr>
            <w:r w:rsidRPr="004F4E9F">
              <w:rPr>
                <w:sz w:val="20"/>
              </w:rPr>
              <w:t>Organic (Paraffin, Oil, And Light Asphaltene</w:t>
            </w:r>
          </w:p>
        </w:tc>
        <w:tc>
          <w:tcPr>
            <w:tcW w:w="1276" w:type="dxa"/>
            <w:tcBorders>
              <w:top w:val="nil"/>
              <w:left w:val="nil"/>
              <w:bottom w:val="single" w:sz="4" w:space="0" w:color="auto"/>
              <w:right w:val="single" w:sz="4" w:space="0" w:color="auto"/>
            </w:tcBorders>
            <w:shd w:val="clear" w:color="auto" w:fill="auto"/>
            <w:vAlign w:val="center"/>
            <w:hideMark/>
          </w:tcPr>
          <w:p w14:paraId="15F1E7A9" w14:textId="77777777" w:rsidR="004F4E9F" w:rsidRPr="004F4E9F" w:rsidRDefault="004F4E9F" w:rsidP="00B83185">
            <w:pPr>
              <w:jc w:val="center"/>
              <w:rPr>
                <w:sz w:val="20"/>
              </w:rPr>
            </w:pPr>
            <w:r w:rsidRPr="004F4E9F">
              <w:rPr>
                <w:sz w:val="20"/>
              </w:rPr>
              <w:t>53%</w:t>
            </w:r>
          </w:p>
        </w:tc>
      </w:tr>
      <w:tr w:rsidR="004F4E9F" w:rsidRPr="004F4E9F" w14:paraId="4B976FBE" w14:textId="77777777" w:rsidTr="004F4E9F">
        <w:trPr>
          <w:trHeight w:val="428"/>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B38C8B5" w14:textId="77777777" w:rsidR="004F4E9F" w:rsidRPr="004F4E9F" w:rsidRDefault="004F4E9F" w:rsidP="00B83185">
            <w:pPr>
              <w:jc w:val="center"/>
              <w:rPr>
                <w:sz w:val="20"/>
              </w:rPr>
            </w:pPr>
            <w:r w:rsidRPr="004F4E9F">
              <w:rPr>
                <w:sz w:val="20"/>
              </w:rPr>
              <w:t>3</w:t>
            </w:r>
          </w:p>
        </w:tc>
        <w:tc>
          <w:tcPr>
            <w:tcW w:w="1870" w:type="dxa"/>
            <w:tcBorders>
              <w:top w:val="nil"/>
              <w:left w:val="nil"/>
              <w:bottom w:val="single" w:sz="4" w:space="0" w:color="auto"/>
              <w:right w:val="single" w:sz="4" w:space="0" w:color="auto"/>
            </w:tcBorders>
            <w:shd w:val="clear" w:color="auto" w:fill="auto"/>
            <w:vAlign w:val="center"/>
            <w:hideMark/>
          </w:tcPr>
          <w:p w14:paraId="5C789228" w14:textId="77777777" w:rsidR="004F4E9F" w:rsidRPr="004F4E9F" w:rsidRDefault="004F4E9F" w:rsidP="00B83185">
            <w:pPr>
              <w:jc w:val="center"/>
              <w:rPr>
                <w:sz w:val="20"/>
              </w:rPr>
            </w:pPr>
            <w:r w:rsidRPr="004F4E9F">
              <w:rPr>
                <w:sz w:val="20"/>
              </w:rPr>
              <w:t>Iron Carbonate</w:t>
            </w:r>
          </w:p>
        </w:tc>
        <w:tc>
          <w:tcPr>
            <w:tcW w:w="1276" w:type="dxa"/>
            <w:tcBorders>
              <w:top w:val="nil"/>
              <w:left w:val="nil"/>
              <w:bottom w:val="single" w:sz="4" w:space="0" w:color="auto"/>
              <w:right w:val="single" w:sz="4" w:space="0" w:color="auto"/>
            </w:tcBorders>
            <w:shd w:val="clear" w:color="auto" w:fill="auto"/>
            <w:noWrap/>
            <w:vAlign w:val="center"/>
            <w:hideMark/>
          </w:tcPr>
          <w:p w14:paraId="188BF089" w14:textId="77777777" w:rsidR="004F4E9F" w:rsidRPr="004F4E9F" w:rsidRDefault="004F4E9F" w:rsidP="00B83185">
            <w:pPr>
              <w:jc w:val="center"/>
              <w:rPr>
                <w:sz w:val="20"/>
              </w:rPr>
            </w:pPr>
            <w:r w:rsidRPr="004F4E9F">
              <w:rPr>
                <w:sz w:val="20"/>
              </w:rPr>
              <w:t>14%</w:t>
            </w:r>
          </w:p>
        </w:tc>
      </w:tr>
      <w:tr w:rsidR="004F4E9F" w:rsidRPr="004F4E9F" w14:paraId="402BB045" w14:textId="77777777" w:rsidTr="004F4E9F">
        <w:trPr>
          <w:trHeight w:val="406"/>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BA699CD" w14:textId="77777777" w:rsidR="004F4E9F" w:rsidRPr="004F4E9F" w:rsidRDefault="004F4E9F" w:rsidP="00B83185">
            <w:pPr>
              <w:jc w:val="center"/>
              <w:rPr>
                <w:sz w:val="20"/>
              </w:rPr>
            </w:pPr>
            <w:r w:rsidRPr="004F4E9F">
              <w:rPr>
                <w:sz w:val="20"/>
              </w:rPr>
              <w:t>4</w:t>
            </w:r>
          </w:p>
        </w:tc>
        <w:tc>
          <w:tcPr>
            <w:tcW w:w="1870" w:type="dxa"/>
            <w:tcBorders>
              <w:top w:val="nil"/>
              <w:left w:val="nil"/>
              <w:bottom w:val="single" w:sz="4" w:space="0" w:color="auto"/>
              <w:right w:val="single" w:sz="4" w:space="0" w:color="auto"/>
            </w:tcBorders>
            <w:shd w:val="clear" w:color="auto" w:fill="auto"/>
            <w:noWrap/>
            <w:vAlign w:val="center"/>
            <w:hideMark/>
          </w:tcPr>
          <w:p w14:paraId="116715C8" w14:textId="77777777" w:rsidR="004F4E9F" w:rsidRPr="004F4E9F" w:rsidRDefault="004F4E9F" w:rsidP="00B83185">
            <w:pPr>
              <w:jc w:val="center"/>
              <w:rPr>
                <w:sz w:val="20"/>
              </w:rPr>
            </w:pPr>
            <w:r w:rsidRPr="004F4E9F">
              <w:rPr>
                <w:sz w:val="20"/>
              </w:rPr>
              <w:t>Iron Oxide</w:t>
            </w:r>
          </w:p>
        </w:tc>
        <w:tc>
          <w:tcPr>
            <w:tcW w:w="1276" w:type="dxa"/>
            <w:tcBorders>
              <w:top w:val="nil"/>
              <w:left w:val="nil"/>
              <w:bottom w:val="single" w:sz="4" w:space="0" w:color="auto"/>
              <w:right w:val="single" w:sz="4" w:space="0" w:color="auto"/>
            </w:tcBorders>
            <w:shd w:val="clear" w:color="auto" w:fill="auto"/>
            <w:noWrap/>
            <w:vAlign w:val="center"/>
            <w:hideMark/>
          </w:tcPr>
          <w:p w14:paraId="3ABB57FF" w14:textId="77777777" w:rsidR="004F4E9F" w:rsidRPr="004F4E9F" w:rsidRDefault="004F4E9F" w:rsidP="00B83185">
            <w:pPr>
              <w:jc w:val="center"/>
              <w:rPr>
                <w:sz w:val="20"/>
              </w:rPr>
            </w:pPr>
            <w:r w:rsidRPr="004F4E9F">
              <w:rPr>
                <w:sz w:val="20"/>
              </w:rPr>
              <w:t>10%</w:t>
            </w:r>
          </w:p>
        </w:tc>
      </w:tr>
      <w:tr w:rsidR="004F4E9F" w:rsidRPr="004F4E9F" w14:paraId="5A6F3AEA" w14:textId="77777777" w:rsidTr="004F4E9F">
        <w:trPr>
          <w:trHeight w:val="55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71630B7" w14:textId="77777777" w:rsidR="004F4E9F" w:rsidRPr="004F4E9F" w:rsidRDefault="004F4E9F" w:rsidP="00B83185">
            <w:pPr>
              <w:jc w:val="center"/>
              <w:rPr>
                <w:sz w:val="20"/>
              </w:rPr>
            </w:pPr>
            <w:r w:rsidRPr="004F4E9F">
              <w:rPr>
                <w:sz w:val="20"/>
              </w:rPr>
              <w:t>5</w:t>
            </w:r>
          </w:p>
        </w:tc>
        <w:tc>
          <w:tcPr>
            <w:tcW w:w="1870" w:type="dxa"/>
            <w:tcBorders>
              <w:top w:val="nil"/>
              <w:left w:val="nil"/>
              <w:bottom w:val="single" w:sz="4" w:space="0" w:color="auto"/>
              <w:right w:val="single" w:sz="4" w:space="0" w:color="auto"/>
            </w:tcBorders>
            <w:shd w:val="clear" w:color="auto" w:fill="auto"/>
            <w:noWrap/>
            <w:vAlign w:val="center"/>
            <w:hideMark/>
          </w:tcPr>
          <w:p w14:paraId="5957BAAA" w14:textId="77777777" w:rsidR="004F4E9F" w:rsidRPr="004F4E9F" w:rsidRDefault="004F4E9F" w:rsidP="00B83185">
            <w:pPr>
              <w:jc w:val="center"/>
              <w:rPr>
                <w:sz w:val="20"/>
              </w:rPr>
            </w:pPr>
            <w:r w:rsidRPr="004F4E9F">
              <w:rPr>
                <w:sz w:val="20"/>
              </w:rPr>
              <w:t>Elemental Carbon</w:t>
            </w:r>
          </w:p>
        </w:tc>
        <w:tc>
          <w:tcPr>
            <w:tcW w:w="1276" w:type="dxa"/>
            <w:tcBorders>
              <w:top w:val="nil"/>
              <w:left w:val="nil"/>
              <w:bottom w:val="single" w:sz="4" w:space="0" w:color="auto"/>
              <w:right w:val="single" w:sz="4" w:space="0" w:color="auto"/>
            </w:tcBorders>
            <w:shd w:val="clear" w:color="auto" w:fill="auto"/>
            <w:noWrap/>
            <w:vAlign w:val="center"/>
            <w:hideMark/>
          </w:tcPr>
          <w:p w14:paraId="15A0F1F7" w14:textId="77777777" w:rsidR="004F4E9F" w:rsidRPr="004F4E9F" w:rsidRDefault="004F4E9F" w:rsidP="00B83185">
            <w:pPr>
              <w:jc w:val="center"/>
              <w:rPr>
                <w:sz w:val="20"/>
              </w:rPr>
            </w:pPr>
            <w:r w:rsidRPr="004F4E9F">
              <w:rPr>
                <w:sz w:val="20"/>
              </w:rPr>
              <w:t>13%</w:t>
            </w:r>
          </w:p>
        </w:tc>
      </w:tr>
    </w:tbl>
    <w:p w14:paraId="66A8964C" w14:textId="77777777" w:rsidR="004F4E9F" w:rsidRDefault="004F4E9F" w:rsidP="000A7AD3">
      <w:pPr>
        <w:pStyle w:val="IsiHeading1"/>
        <w:rPr>
          <w:sz w:val="24"/>
          <w:szCs w:val="24"/>
        </w:rPr>
      </w:pPr>
    </w:p>
    <w:p w14:paraId="519B6F48" w14:textId="77777777" w:rsidR="004F4E9F" w:rsidRDefault="004F4E9F" w:rsidP="004F4E9F">
      <w:pPr>
        <w:pStyle w:val="IsiHeading1"/>
        <w:rPr>
          <w:sz w:val="24"/>
          <w:szCs w:val="24"/>
        </w:rPr>
      </w:pPr>
      <w:r w:rsidRPr="00A27005">
        <w:rPr>
          <w:sz w:val="24"/>
          <w:szCs w:val="24"/>
        </w:rPr>
        <w:t>The effort that can be done to overcome the problem of schmoo accumulation in water injection pipes is to do routine pigging activities. But in fact, some pigging conditions cannot be done due to pipe size, pipe geometry that does not support, pipe construction that is not designed for pigging activities, or the absence of pig launcher or pig receiver facilities. For this reason, there must be other alternative efforts that can be done to eliminate schmoo deposits on water injection pipes.</w:t>
      </w:r>
    </w:p>
    <w:p w14:paraId="5308F067" w14:textId="77777777" w:rsidR="004F4E9F" w:rsidRDefault="004F4E9F" w:rsidP="004F4E9F">
      <w:pPr>
        <w:pStyle w:val="IsiHeading1"/>
        <w:rPr>
          <w:sz w:val="24"/>
          <w:szCs w:val="24"/>
        </w:rPr>
      </w:pPr>
    </w:p>
    <w:p w14:paraId="18FB71B1" w14:textId="77777777" w:rsidR="004F4E9F" w:rsidRPr="009C5B2D" w:rsidRDefault="004F4E9F" w:rsidP="004F4E9F">
      <w:pPr>
        <w:pStyle w:val="IsiHeading1"/>
        <w:rPr>
          <w:sz w:val="24"/>
          <w:szCs w:val="24"/>
        </w:rPr>
      </w:pPr>
      <w:r>
        <w:rPr>
          <w:sz w:val="24"/>
          <w:szCs w:val="24"/>
        </w:rPr>
        <w:t>A</w:t>
      </w:r>
      <w:r w:rsidRPr="00A27005">
        <w:rPr>
          <w:sz w:val="24"/>
          <w:szCs w:val="24"/>
        </w:rPr>
        <w:t>mong the ways that can now be done is by injecting a chemical formula specifically designed to remove solid / schmoo deposits in injection water pipes, these chemicals are generally called Schmoo Remover. It is a formula made from a kind of surfactant containing a corrosion inhibitor.</w:t>
      </w:r>
      <w:r>
        <w:rPr>
          <w:sz w:val="24"/>
          <w:szCs w:val="24"/>
        </w:rPr>
        <w:t xml:space="preserve"> This paper will only explain about the effectivity of the surfactant compound to clean the schmoo deposit inside the pipeline. The corrosion inhibitor activity will need another experiment/field trial to rate the inhibitions effectivity.</w:t>
      </w:r>
    </w:p>
    <w:p w14:paraId="411915AF" w14:textId="742D59E6" w:rsidR="000A7AD3" w:rsidRDefault="000A7AD3" w:rsidP="000A7AD3">
      <w:pPr>
        <w:pStyle w:val="IsiHeading1"/>
        <w:rPr>
          <w:sz w:val="24"/>
          <w:szCs w:val="24"/>
        </w:rPr>
      </w:pPr>
    </w:p>
    <w:p w14:paraId="0ADEB1A3" w14:textId="3B9D24EA" w:rsidR="004F4E9F" w:rsidRDefault="004F4E9F" w:rsidP="004F4E9F">
      <w:pPr>
        <w:pStyle w:val="Heading2"/>
      </w:pPr>
      <w:r>
        <w:t>LITERATURE REVIEW</w:t>
      </w:r>
    </w:p>
    <w:p w14:paraId="3631F71E" w14:textId="77777777" w:rsidR="004F4E9F" w:rsidRDefault="004F4E9F" w:rsidP="004F4E9F">
      <w:pPr>
        <w:pStyle w:val="IsiHeading1"/>
        <w:spacing w:after="0"/>
        <w:rPr>
          <w:sz w:val="24"/>
          <w:szCs w:val="24"/>
        </w:rPr>
      </w:pPr>
      <w:r w:rsidRPr="003D338F">
        <w:rPr>
          <w:sz w:val="24"/>
          <w:szCs w:val="24"/>
        </w:rPr>
        <w:t>Over the past 150 years of oil production, there have been few times that maintaining</w:t>
      </w:r>
      <w:r>
        <w:rPr>
          <w:sz w:val="24"/>
          <w:szCs w:val="24"/>
        </w:rPr>
        <w:t xml:space="preserve"> </w:t>
      </w:r>
      <w:r w:rsidRPr="003D338F">
        <w:rPr>
          <w:sz w:val="24"/>
          <w:szCs w:val="24"/>
        </w:rPr>
        <w:t>production has been as critical as it is today. With the oil</w:t>
      </w:r>
      <w:r>
        <w:rPr>
          <w:sz w:val="24"/>
          <w:szCs w:val="24"/>
        </w:rPr>
        <w:t xml:space="preserve"> price riding at all time highs </w:t>
      </w:r>
      <w:r w:rsidRPr="003D338F">
        <w:rPr>
          <w:sz w:val="24"/>
          <w:szCs w:val="24"/>
        </w:rPr>
        <w:t xml:space="preserve">and the world’s demand unrelenting, it is critical </w:t>
      </w:r>
      <w:r>
        <w:rPr>
          <w:sz w:val="24"/>
          <w:szCs w:val="24"/>
        </w:rPr>
        <w:t xml:space="preserve">for companies to maximize their </w:t>
      </w:r>
      <w:r w:rsidRPr="003D338F">
        <w:rPr>
          <w:sz w:val="24"/>
          <w:szCs w:val="24"/>
        </w:rPr>
        <w:t xml:space="preserve">production. </w:t>
      </w:r>
      <w:r>
        <w:rPr>
          <w:sz w:val="24"/>
          <w:szCs w:val="24"/>
        </w:rPr>
        <w:t xml:space="preserve">Pipeline become one of the critical production facilities, especially for water injection purpose. The water quality shall be maintainned to it’s specfication to prevent the reservoir plugging and in the otherhands solid components and oily particles in the water can deposit inside the pipeline and restrict the flow. </w:t>
      </w:r>
      <w:r w:rsidRPr="003F5C55">
        <w:rPr>
          <w:sz w:val="24"/>
          <w:szCs w:val="24"/>
        </w:rPr>
        <w:t>In many cases, these deposits are not easily removed fro</w:t>
      </w:r>
      <w:r>
        <w:rPr>
          <w:sz w:val="24"/>
          <w:szCs w:val="24"/>
        </w:rPr>
        <w:t xml:space="preserve">m a pipeline due to the absence </w:t>
      </w:r>
      <w:r w:rsidRPr="003F5C55">
        <w:rPr>
          <w:sz w:val="24"/>
          <w:szCs w:val="24"/>
        </w:rPr>
        <w:t>of pig launchers and receivers. Even in cases where mai</w:t>
      </w:r>
      <w:r>
        <w:rPr>
          <w:sz w:val="24"/>
          <w:szCs w:val="24"/>
        </w:rPr>
        <w:t>ntenance pigs can be run, the result still not maximal to remove all the oily solid and debris inside the pipeline.</w:t>
      </w:r>
    </w:p>
    <w:p w14:paraId="35E1FFF5" w14:textId="77777777" w:rsidR="004F4E9F" w:rsidRDefault="004F4E9F" w:rsidP="004F4E9F">
      <w:pPr>
        <w:pStyle w:val="IsiHeading1"/>
        <w:spacing w:after="0"/>
        <w:rPr>
          <w:sz w:val="24"/>
          <w:szCs w:val="24"/>
        </w:rPr>
      </w:pPr>
    </w:p>
    <w:p w14:paraId="3A252D7A" w14:textId="77777777" w:rsidR="004F4E9F" w:rsidRDefault="004F4E9F" w:rsidP="004F4E9F">
      <w:pPr>
        <w:pStyle w:val="IsiHeading1"/>
        <w:spacing w:after="0"/>
        <w:rPr>
          <w:sz w:val="24"/>
          <w:szCs w:val="24"/>
        </w:rPr>
      </w:pPr>
      <w:r>
        <w:rPr>
          <w:sz w:val="24"/>
          <w:szCs w:val="24"/>
        </w:rPr>
        <w:t>Problem related to fouling in production and water injection are widely observed and costly phenomenon in oil and gas industry. There are three Category types of deposit exist, Inorganic (e.g. mineral scale or corrosion product), organic (e.g. asphaltene, wax or biofouling), and a combination of these two types often called as “Schmoo” (Vera et al.,2012).</w:t>
      </w:r>
    </w:p>
    <w:p w14:paraId="3F4E6222" w14:textId="77777777" w:rsidR="004F4E9F" w:rsidRDefault="004F4E9F" w:rsidP="004F4E9F">
      <w:pPr>
        <w:pStyle w:val="IsiHeading1"/>
        <w:spacing w:after="0"/>
        <w:rPr>
          <w:sz w:val="24"/>
          <w:szCs w:val="24"/>
        </w:rPr>
      </w:pPr>
    </w:p>
    <w:p w14:paraId="3D1790C3" w14:textId="77777777" w:rsidR="004F4E9F" w:rsidRDefault="004F4E9F" w:rsidP="004F4E9F">
      <w:pPr>
        <w:pStyle w:val="IsiHeading1"/>
        <w:spacing w:after="0"/>
        <w:jc w:val="center"/>
        <w:rPr>
          <w:sz w:val="24"/>
          <w:szCs w:val="24"/>
        </w:rPr>
      </w:pPr>
      <w:r>
        <w:rPr>
          <w:noProof/>
        </w:rPr>
        <w:drawing>
          <wp:inline distT="0" distB="0" distL="0" distR="0" wp14:anchorId="31C8ABA9" wp14:editId="1AABD22F">
            <wp:extent cx="2019300" cy="182439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27154" cy="1831486"/>
                    </a:xfrm>
                    <a:prstGeom prst="rect">
                      <a:avLst/>
                    </a:prstGeom>
                  </pic:spPr>
                </pic:pic>
              </a:graphicData>
            </a:graphic>
          </wp:inline>
        </w:drawing>
      </w:r>
    </w:p>
    <w:p w14:paraId="042807AE" w14:textId="11EBEFF3" w:rsidR="004F4E9F" w:rsidRDefault="003F5EE8" w:rsidP="003F5EE8">
      <w:pPr>
        <w:pStyle w:val="IsiHeading1"/>
        <w:spacing w:after="0"/>
        <w:jc w:val="center"/>
        <w:rPr>
          <w:sz w:val="24"/>
          <w:szCs w:val="24"/>
        </w:rPr>
      </w:pPr>
      <w:r>
        <w:rPr>
          <w:sz w:val="24"/>
          <w:szCs w:val="24"/>
        </w:rPr>
        <w:t xml:space="preserve">Figure1. </w:t>
      </w:r>
      <w:r w:rsidR="004F4E9F">
        <w:rPr>
          <w:sz w:val="24"/>
          <w:szCs w:val="24"/>
        </w:rPr>
        <w:t>Analysis of field Schmoo (Horsup et al.,2007)</w:t>
      </w:r>
    </w:p>
    <w:p w14:paraId="0EBB5CEE" w14:textId="5F9F3A5A" w:rsidR="004F4E9F" w:rsidRDefault="004F4E9F" w:rsidP="004F4E9F">
      <w:pPr>
        <w:pStyle w:val="IsiHeading1"/>
        <w:spacing w:after="0"/>
        <w:rPr>
          <w:sz w:val="24"/>
          <w:szCs w:val="24"/>
        </w:rPr>
      </w:pPr>
      <w:r w:rsidRPr="00C15126">
        <w:rPr>
          <w:sz w:val="24"/>
          <w:szCs w:val="24"/>
        </w:rPr>
        <w:lastRenderedPageBreak/>
        <w:t>There are three main mechanisms for the removal of oil from a surface by surfactant</w:t>
      </w:r>
      <w:r>
        <w:rPr>
          <w:sz w:val="24"/>
          <w:szCs w:val="24"/>
        </w:rPr>
        <w:t xml:space="preserve"> </w:t>
      </w:r>
      <w:r w:rsidRPr="00C15126">
        <w:rPr>
          <w:sz w:val="24"/>
          <w:szCs w:val="24"/>
        </w:rPr>
        <w:t>solutions. These are solubilization, emulsification and roll up</w:t>
      </w:r>
      <w:r>
        <w:rPr>
          <w:sz w:val="24"/>
          <w:szCs w:val="24"/>
        </w:rPr>
        <w:t xml:space="preserve"> (Horsup et al .,2007).</w:t>
      </w:r>
    </w:p>
    <w:p w14:paraId="7A8E6682" w14:textId="77777777" w:rsidR="007D6220" w:rsidRDefault="007D6220" w:rsidP="004F4E9F">
      <w:pPr>
        <w:pStyle w:val="IsiHeading1"/>
        <w:spacing w:after="0"/>
        <w:rPr>
          <w:sz w:val="24"/>
          <w:szCs w:val="24"/>
        </w:rPr>
      </w:pPr>
    </w:p>
    <w:p w14:paraId="44E8CB36" w14:textId="5DF66D41" w:rsidR="004F4E9F" w:rsidRDefault="004F4E9F" w:rsidP="004F4E9F">
      <w:pPr>
        <w:pStyle w:val="IsiHeading1"/>
        <w:spacing w:after="0"/>
        <w:rPr>
          <w:sz w:val="24"/>
          <w:szCs w:val="24"/>
        </w:rPr>
      </w:pPr>
      <w:r w:rsidRPr="00C15126">
        <w:rPr>
          <w:sz w:val="24"/>
          <w:szCs w:val="24"/>
        </w:rPr>
        <w:t>Solubilization is where oil is incorporated into the hydropho</w:t>
      </w:r>
      <w:r>
        <w:rPr>
          <w:sz w:val="24"/>
          <w:szCs w:val="24"/>
        </w:rPr>
        <w:t xml:space="preserve">bic cores of micelles to form a </w:t>
      </w:r>
      <w:r w:rsidRPr="00C15126">
        <w:rPr>
          <w:sz w:val="24"/>
          <w:szCs w:val="24"/>
        </w:rPr>
        <w:t>thermod</w:t>
      </w:r>
      <w:r>
        <w:rPr>
          <w:sz w:val="24"/>
          <w:szCs w:val="24"/>
        </w:rPr>
        <w:t>ynamically stable microemulsion.</w:t>
      </w:r>
    </w:p>
    <w:p w14:paraId="51CA5099" w14:textId="22C2961B" w:rsidR="007D6220" w:rsidRDefault="007D6220" w:rsidP="004F4E9F">
      <w:pPr>
        <w:pStyle w:val="IsiHeading1"/>
        <w:spacing w:after="0"/>
        <w:rPr>
          <w:sz w:val="24"/>
          <w:szCs w:val="24"/>
        </w:rPr>
      </w:pPr>
    </w:p>
    <w:p w14:paraId="1E054082" w14:textId="4F0C2E03" w:rsidR="00EA7870" w:rsidRDefault="00EA7870" w:rsidP="00EA7870">
      <w:pPr>
        <w:pStyle w:val="IsiHeading1"/>
        <w:spacing w:after="0"/>
        <w:jc w:val="center"/>
        <w:rPr>
          <w:sz w:val="24"/>
          <w:szCs w:val="24"/>
        </w:rPr>
      </w:pPr>
      <w:r>
        <w:rPr>
          <w:noProof/>
        </w:rPr>
        <w:drawing>
          <wp:inline distT="0" distB="0" distL="0" distR="0" wp14:anchorId="727B597C" wp14:editId="3A4E3286">
            <wp:extent cx="3990975" cy="134390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4102" cy="1355055"/>
                    </a:xfrm>
                    <a:prstGeom prst="rect">
                      <a:avLst/>
                    </a:prstGeom>
                  </pic:spPr>
                </pic:pic>
              </a:graphicData>
            </a:graphic>
          </wp:inline>
        </w:drawing>
      </w:r>
    </w:p>
    <w:p w14:paraId="214DF6DE" w14:textId="4142EBB3" w:rsidR="0090451B" w:rsidRDefault="0090451B" w:rsidP="0090451B">
      <w:pPr>
        <w:pStyle w:val="IsiHeading1"/>
        <w:spacing w:after="0"/>
        <w:rPr>
          <w:sz w:val="24"/>
          <w:szCs w:val="24"/>
        </w:rPr>
      </w:pPr>
      <w:r>
        <w:rPr>
          <w:sz w:val="24"/>
          <w:szCs w:val="24"/>
        </w:rPr>
        <w:t xml:space="preserve">                                               </w:t>
      </w:r>
      <w:r w:rsidR="003F5EE8">
        <w:rPr>
          <w:sz w:val="24"/>
          <w:szCs w:val="24"/>
        </w:rPr>
        <w:t xml:space="preserve">Figure 2. </w:t>
      </w:r>
      <w:r>
        <w:rPr>
          <w:sz w:val="24"/>
          <w:szCs w:val="24"/>
        </w:rPr>
        <w:t>Solubilization Mechanism</w:t>
      </w:r>
    </w:p>
    <w:p w14:paraId="5B056A6F" w14:textId="77777777" w:rsidR="00EA7870" w:rsidRDefault="00EA7870" w:rsidP="007D6220">
      <w:pPr>
        <w:pStyle w:val="IsiHeading1"/>
        <w:spacing w:after="0"/>
        <w:rPr>
          <w:sz w:val="24"/>
          <w:szCs w:val="24"/>
        </w:rPr>
      </w:pPr>
    </w:p>
    <w:p w14:paraId="6874E063" w14:textId="79D11067" w:rsidR="007D6220" w:rsidRDefault="007D6220" w:rsidP="007D6220">
      <w:pPr>
        <w:pStyle w:val="IsiHeading1"/>
        <w:spacing w:after="0"/>
        <w:rPr>
          <w:sz w:val="24"/>
          <w:szCs w:val="24"/>
        </w:rPr>
      </w:pPr>
      <w:r w:rsidRPr="00A73C88">
        <w:rPr>
          <w:sz w:val="24"/>
          <w:szCs w:val="24"/>
        </w:rPr>
        <w:t xml:space="preserve">Emulsification occurs when adsorption of the surfactant to </w:t>
      </w:r>
      <w:r>
        <w:rPr>
          <w:sz w:val="24"/>
          <w:szCs w:val="24"/>
        </w:rPr>
        <w:t xml:space="preserve">the oil-water interface reduces </w:t>
      </w:r>
      <w:r w:rsidRPr="00A73C88">
        <w:rPr>
          <w:sz w:val="24"/>
          <w:szCs w:val="24"/>
        </w:rPr>
        <w:t>the interfacial tension to such an extent that new interface can be eas</w:t>
      </w:r>
      <w:r>
        <w:rPr>
          <w:sz w:val="24"/>
          <w:szCs w:val="24"/>
        </w:rPr>
        <w:t xml:space="preserve">ily formed. </w:t>
      </w:r>
      <w:r w:rsidRPr="00A73C88">
        <w:rPr>
          <w:sz w:val="24"/>
          <w:szCs w:val="24"/>
        </w:rPr>
        <w:t>Mechanical shear or even the natural buoyancy of the oil the</w:t>
      </w:r>
      <w:r>
        <w:rPr>
          <w:sz w:val="24"/>
          <w:szCs w:val="24"/>
        </w:rPr>
        <w:t xml:space="preserve">n allows small drops of the oil </w:t>
      </w:r>
      <w:r w:rsidRPr="00A73C88">
        <w:rPr>
          <w:sz w:val="24"/>
          <w:szCs w:val="24"/>
        </w:rPr>
        <w:t>to release from the main bo</w:t>
      </w:r>
      <w:r>
        <w:rPr>
          <w:sz w:val="24"/>
          <w:szCs w:val="24"/>
        </w:rPr>
        <w:t>dy of oil.</w:t>
      </w:r>
    </w:p>
    <w:p w14:paraId="646F3C79" w14:textId="2CA51C46" w:rsidR="00EA7870" w:rsidRDefault="00EA7870" w:rsidP="00EA7870">
      <w:pPr>
        <w:pStyle w:val="IsiHeading1"/>
        <w:spacing w:after="0"/>
        <w:jc w:val="center"/>
        <w:rPr>
          <w:sz w:val="24"/>
          <w:szCs w:val="24"/>
        </w:rPr>
      </w:pPr>
      <w:r>
        <w:rPr>
          <w:noProof/>
        </w:rPr>
        <w:drawing>
          <wp:inline distT="0" distB="0" distL="0" distR="0" wp14:anchorId="3700EB02" wp14:editId="7ADFDCA8">
            <wp:extent cx="3914775" cy="16058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7299" cy="1627402"/>
                    </a:xfrm>
                    <a:prstGeom prst="rect">
                      <a:avLst/>
                    </a:prstGeom>
                  </pic:spPr>
                </pic:pic>
              </a:graphicData>
            </a:graphic>
          </wp:inline>
        </w:drawing>
      </w:r>
    </w:p>
    <w:p w14:paraId="66D12F92" w14:textId="440E03C2" w:rsidR="007D6220" w:rsidRDefault="0090451B" w:rsidP="007D6220">
      <w:pPr>
        <w:pStyle w:val="IsiHeading1"/>
        <w:spacing w:after="0"/>
        <w:rPr>
          <w:sz w:val="24"/>
          <w:szCs w:val="24"/>
        </w:rPr>
      </w:pPr>
      <w:r>
        <w:rPr>
          <w:sz w:val="24"/>
          <w:szCs w:val="24"/>
        </w:rPr>
        <w:t xml:space="preserve">                                             </w:t>
      </w:r>
      <w:r w:rsidR="003F5EE8">
        <w:rPr>
          <w:sz w:val="24"/>
          <w:szCs w:val="24"/>
        </w:rPr>
        <w:t>Figure 3.</w:t>
      </w:r>
      <w:r>
        <w:rPr>
          <w:sz w:val="24"/>
          <w:szCs w:val="24"/>
        </w:rPr>
        <w:t xml:space="preserve"> Emulsification Mechanism</w:t>
      </w:r>
    </w:p>
    <w:p w14:paraId="68B2FB25" w14:textId="77777777" w:rsidR="003F5EE8" w:rsidRDefault="003F5EE8" w:rsidP="007D6220">
      <w:pPr>
        <w:pStyle w:val="IsiHeading1"/>
        <w:spacing w:after="0"/>
        <w:rPr>
          <w:sz w:val="24"/>
          <w:szCs w:val="24"/>
        </w:rPr>
      </w:pPr>
    </w:p>
    <w:p w14:paraId="15ECC9AD" w14:textId="1EF59BF3" w:rsidR="00EA7870" w:rsidRDefault="007D6220" w:rsidP="007D6220">
      <w:pPr>
        <w:pStyle w:val="IsiHeading1"/>
        <w:spacing w:after="0"/>
        <w:rPr>
          <w:sz w:val="24"/>
          <w:szCs w:val="24"/>
        </w:rPr>
      </w:pPr>
      <w:r w:rsidRPr="00A73C88">
        <w:rPr>
          <w:sz w:val="24"/>
          <w:szCs w:val="24"/>
        </w:rPr>
        <w:t>A roll up mechanism occurs when adsorption of surfactant t</w:t>
      </w:r>
      <w:r>
        <w:rPr>
          <w:sz w:val="24"/>
          <w:szCs w:val="24"/>
        </w:rPr>
        <w:t xml:space="preserve">o the oil-water and water-solid </w:t>
      </w:r>
      <w:r w:rsidRPr="00A73C88">
        <w:rPr>
          <w:sz w:val="24"/>
          <w:szCs w:val="24"/>
        </w:rPr>
        <w:t>interfaces causes a chang</w:t>
      </w:r>
      <w:r>
        <w:rPr>
          <w:sz w:val="24"/>
          <w:szCs w:val="24"/>
        </w:rPr>
        <w:t xml:space="preserve">e in γow and γsw. </w:t>
      </w:r>
      <w:r w:rsidRPr="00A73C88">
        <w:rPr>
          <w:sz w:val="24"/>
          <w:szCs w:val="24"/>
        </w:rPr>
        <w:t>The three forces act</w:t>
      </w:r>
      <w:r>
        <w:rPr>
          <w:sz w:val="24"/>
          <w:szCs w:val="24"/>
        </w:rPr>
        <w:t xml:space="preserve">ing at the contact line rapidly </w:t>
      </w:r>
      <w:r w:rsidRPr="00A73C88">
        <w:rPr>
          <w:sz w:val="24"/>
          <w:szCs w:val="24"/>
        </w:rPr>
        <w:t>rebalance themselves to give a new contact angle and work of adhesion</w:t>
      </w:r>
      <w:r>
        <w:rPr>
          <w:sz w:val="24"/>
          <w:szCs w:val="24"/>
        </w:rPr>
        <w:t>.</w:t>
      </w:r>
    </w:p>
    <w:p w14:paraId="4F6C870D" w14:textId="77777777" w:rsidR="00EA7870" w:rsidRDefault="00EA7870" w:rsidP="007D6220">
      <w:pPr>
        <w:pStyle w:val="IsiHeading1"/>
        <w:spacing w:after="0"/>
        <w:rPr>
          <w:sz w:val="24"/>
          <w:szCs w:val="24"/>
        </w:rPr>
      </w:pPr>
    </w:p>
    <w:p w14:paraId="4E6F3344" w14:textId="77777777" w:rsidR="003F5EE8" w:rsidRDefault="00EA7870" w:rsidP="003F5EE8">
      <w:pPr>
        <w:pStyle w:val="IsiHeading1"/>
        <w:spacing w:after="0"/>
        <w:jc w:val="center"/>
        <w:rPr>
          <w:sz w:val="24"/>
          <w:szCs w:val="24"/>
        </w:rPr>
      </w:pPr>
      <w:r>
        <w:rPr>
          <w:noProof/>
        </w:rPr>
        <w:drawing>
          <wp:inline distT="0" distB="0" distL="0" distR="0" wp14:anchorId="66DAF132" wp14:editId="1D8823B0">
            <wp:extent cx="3867150" cy="16042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12352" cy="1623028"/>
                    </a:xfrm>
                    <a:prstGeom prst="rect">
                      <a:avLst/>
                    </a:prstGeom>
                  </pic:spPr>
                </pic:pic>
              </a:graphicData>
            </a:graphic>
          </wp:inline>
        </w:drawing>
      </w:r>
    </w:p>
    <w:p w14:paraId="271C700B" w14:textId="33BCB22B" w:rsidR="0090451B" w:rsidRDefault="003F5EE8" w:rsidP="003F5EE8">
      <w:pPr>
        <w:pStyle w:val="IsiHeading1"/>
        <w:spacing w:after="0"/>
        <w:rPr>
          <w:sz w:val="24"/>
          <w:szCs w:val="24"/>
        </w:rPr>
      </w:pPr>
      <w:r>
        <w:rPr>
          <w:sz w:val="24"/>
          <w:szCs w:val="24"/>
        </w:rPr>
        <w:t xml:space="preserve">                                            Figure 4. </w:t>
      </w:r>
      <w:r w:rsidR="0090451B">
        <w:rPr>
          <w:sz w:val="24"/>
          <w:szCs w:val="24"/>
        </w:rPr>
        <w:t>Roll-up Mechanism</w:t>
      </w:r>
    </w:p>
    <w:p w14:paraId="2E555F8D" w14:textId="1C58936D" w:rsidR="00D72620" w:rsidRDefault="00D72620" w:rsidP="00E26D65">
      <w:pPr>
        <w:pStyle w:val="Paragraph"/>
        <w:ind w:firstLine="0"/>
      </w:pPr>
    </w:p>
    <w:p w14:paraId="4AF67BEF" w14:textId="61A8A368" w:rsidR="00D72620" w:rsidRDefault="00D72620" w:rsidP="00D72620">
      <w:pPr>
        <w:pStyle w:val="Heading2"/>
      </w:pPr>
      <w:r>
        <w:lastRenderedPageBreak/>
        <w:t>CASE STUDY</w:t>
      </w:r>
    </w:p>
    <w:p w14:paraId="1189AB07" w14:textId="7222BEA4" w:rsidR="00D72620" w:rsidRDefault="00D72620" w:rsidP="00D72620">
      <w:pPr>
        <w:jc w:val="both"/>
        <w:rPr>
          <w:rFonts w:eastAsiaTheme="minorHAnsi"/>
          <w:szCs w:val="24"/>
        </w:rPr>
      </w:pPr>
      <w:r>
        <w:rPr>
          <w:rFonts w:eastAsiaTheme="minorHAnsi"/>
          <w:szCs w:val="24"/>
        </w:rPr>
        <w:t>Water Injection System in PHE OK can be classified as old facility due to it’s age almost more than 30 years old. The facilities consist of Three phase separator, Water wash tank, Water Surge Tank, and HPS pump for injecting water to injection wells. There’s no no facilities or equipment for solid removal in injection water. As the consequence of the abensence of solid removal equipment, the solid concentration in water injection or TSS (Total Suspended Solid) achieve more than 300 mg/L. The high solid concentration and get worst by oil content in water injection caused the oily solid deposition inside the pipe and reduce the flow capacity also have consequence in pipe intergrity due to corrosion problems.</w:t>
      </w:r>
    </w:p>
    <w:p w14:paraId="39F894E9" w14:textId="77777777" w:rsidR="00D72620" w:rsidRDefault="00D72620" w:rsidP="00D72620">
      <w:pPr>
        <w:jc w:val="both"/>
        <w:rPr>
          <w:rFonts w:eastAsiaTheme="minorHAnsi"/>
          <w:szCs w:val="24"/>
        </w:rPr>
      </w:pPr>
    </w:p>
    <w:p w14:paraId="7592439E" w14:textId="2EEB4467" w:rsidR="00D72620" w:rsidRDefault="00D72620" w:rsidP="00D72620">
      <w:pPr>
        <w:jc w:val="both"/>
        <w:rPr>
          <w:rFonts w:eastAsiaTheme="minorHAnsi"/>
          <w:szCs w:val="24"/>
        </w:rPr>
      </w:pPr>
      <w:r>
        <w:rPr>
          <w:rFonts w:eastAsiaTheme="minorHAnsi"/>
          <w:szCs w:val="24"/>
        </w:rPr>
        <w:t>The water injection pipeline is unpiggable due to a lot of 90</w:t>
      </w:r>
      <w:r w:rsidRPr="00A44508">
        <w:rPr>
          <w:rFonts w:eastAsiaTheme="minorHAnsi"/>
          <w:szCs w:val="24"/>
          <w:vertAlign w:val="superscript"/>
        </w:rPr>
        <w:t>o</w:t>
      </w:r>
      <w:r>
        <w:rPr>
          <w:rFonts w:eastAsiaTheme="minorHAnsi"/>
          <w:szCs w:val="24"/>
        </w:rPr>
        <w:t xml:space="preserve"> elbow and diameter decrease due to corrosion product deposition in the pipe wall. The risk of stuck pig is very high and can be serious problems for the water injection system operation. To overcome the problems, Company try to inject the Schmoo Remover Chemical in the partial section of the pipeline network to remove the Schmoo deposits.</w:t>
      </w:r>
    </w:p>
    <w:p w14:paraId="12ABE4FC" w14:textId="77777777" w:rsidR="00D72620" w:rsidRDefault="00D72620" w:rsidP="00D72620">
      <w:pPr>
        <w:jc w:val="both"/>
        <w:rPr>
          <w:rFonts w:eastAsiaTheme="minorHAnsi"/>
          <w:szCs w:val="24"/>
        </w:rPr>
      </w:pPr>
    </w:p>
    <w:p w14:paraId="2EE5D6FA" w14:textId="27530C07" w:rsidR="00D72620" w:rsidRDefault="00D72620" w:rsidP="00D72620">
      <w:pPr>
        <w:jc w:val="both"/>
        <w:rPr>
          <w:rFonts w:eastAsiaTheme="minorHAnsi"/>
          <w:szCs w:val="24"/>
        </w:rPr>
      </w:pPr>
      <w:r>
        <w:rPr>
          <w:rFonts w:eastAsiaTheme="minorHAnsi"/>
          <w:szCs w:val="24"/>
        </w:rPr>
        <w:t>The Schmoo Remover chemical used in this field trial is from Nalco-Champion company (“Clean and Corr” brand). It’s one of the Schmoo Remover chemical product available in the market and has proven succes story in many areas for these types of aplication. This product consist of two major function as a cleaner and a corrosion inhibitor. In this field trial activities, we will only focus at cleaner function, as the corrosion inhibitor function need another type of research to evalaute the performance.</w:t>
      </w:r>
    </w:p>
    <w:p w14:paraId="3801356C" w14:textId="77777777" w:rsidR="00D72620" w:rsidRDefault="00D72620" w:rsidP="00D72620">
      <w:pPr>
        <w:jc w:val="both"/>
        <w:rPr>
          <w:rFonts w:eastAsiaTheme="minorHAnsi"/>
          <w:szCs w:val="24"/>
        </w:rPr>
      </w:pPr>
    </w:p>
    <w:p w14:paraId="4274F69C" w14:textId="216B31A6" w:rsidR="00D72620" w:rsidRDefault="00D72620" w:rsidP="00D72620">
      <w:pPr>
        <w:jc w:val="both"/>
        <w:rPr>
          <w:rFonts w:eastAsiaTheme="minorHAnsi"/>
          <w:szCs w:val="24"/>
        </w:rPr>
      </w:pPr>
      <w:r>
        <w:rPr>
          <w:rFonts w:eastAsiaTheme="minorHAnsi"/>
          <w:szCs w:val="24"/>
        </w:rPr>
        <w:t>The pipeline chosen for the field trial is located on the NEASD area. This area has very important role for the water injection program because it’s support for the many oil wells producer. The average water injection flowrate through the pipeline is about 7,061 BWPD and the average pressure drop is 700 Psig for 4,200 meters pipeline length made from 6 inch Carbon Steel Sch. 40. The big operation issue at this area is the pressure at the end of the pipeline is very big due to solid deposits inside the pipe as show in the below picture.</w:t>
      </w:r>
    </w:p>
    <w:p w14:paraId="285C76BC" w14:textId="77777777" w:rsidR="00D72620" w:rsidRDefault="00D72620" w:rsidP="00D72620">
      <w:pPr>
        <w:jc w:val="both"/>
        <w:rPr>
          <w:rFonts w:eastAsiaTheme="minorHAnsi"/>
          <w:szCs w:val="24"/>
        </w:rPr>
      </w:pPr>
    </w:p>
    <w:p w14:paraId="1C258495" w14:textId="77777777" w:rsidR="00D72620" w:rsidRDefault="00D72620" w:rsidP="00D72620">
      <w:pPr>
        <w:jc w:val="center"/>
        <w:rPr>
          <w:rFonts w:eastAsiaTheme="minorHAnsi"/>
          <w:szCs w:val="24"/>
        </w:rPr>
      </w:pPr>
      <w:r>
        <w:rPr>
          <w:noProof/>
        </w:rPr>
        <w:drawing>
          <wp:inline distT="0" distB="0" distL="0" distR="0" wp14:anchorId="7484FBCF" wp14:editId="1C798F8A">
            <wp:extent cx="2457450" cy="22905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3057" cy="2295736"/>
                    </a:xfrm>
                    <a:prstGeom prst="rect">
                      <a:avLst/>
                    </a:prstGeom>
                  </pic:spPr>
                </pic:pic>
              </a:graphicData>
            </a:graphic>
          </wp:inline>
        </w:drawing>
      </w:r>
    </w:p>
    <w:p w14:paraId="665C0DA9" w14:textId="0D87E917" w:rsidR="00D72620" w:rsidRDefault="003F5EE8" w:rsidP="00D72620">
      <w:pPr>
        <w:jc w:val="center"/>
        <w:rPr>
          <w:rFonts w:eastAsiaTheme="minorHAnsi"/>
          <w:szCs w:val="24"/>
        </w:rPr>
      </w:pPr>
      <w:r>
        <w:rPr>
          <w:rFonts w:eastAsiaTheme="minorHAnsi"/>
          <w:szCs w:val="24"/>
        </w:rPr>
        <w:t xml:space="preserve">Figure 5. </w:t>
      </w:r>
      <w:r w:rsidR="00D72620">
        <w:rPr>
          <w:rFonts w:eastAsiaTheme="minorHAnsi"/>
          <w:szCs w:val="24"/>
        </w:rPr>
        <w:t>Schmoo deposit in the pipeline</w:t>
      </w:r>
    </w:p>
    <w:p w14:paraId="2B597C11" w14:textId="6ABD4732" w:rsidR="00DC4898" w:rsidRDefault="00DC4898" w:rsidP="00DC4898">
      <w:pPr>
        <w:jc w:val="both"/>
        <w:rPr>
          <w:rFonts w:eastAsiaTheme="minorHAnsi"/>
          <w:szCs w:val="24"/>
        </w:rPr>
      </w:pPr>
      <w:r>
        <w:rPr>
          <w:rFonts w:eastAsiaTheme="minorHAnsi"/>
          <w:szCs w:val="24"/>
        </w:rPr>
        <w:lastRenderedPageBreak/>
        <w:t>The big pressure drop result in lack of water injection rate to injection wells and commonly cause injection well plugging. The field trial will be done in this area by direct injection of the Schmoo Removal chemical into the pipeline with the initial dosage at 100 ppmV and maintenance dosage at 20 ppmV as the recommendation from the manufacturer.</w:t>
      </w:r>
    </w:p>
    <w:p w14:paraId="1D91C5A5" w14:textId="77777777" w:rsidR="00D72620" w:rsidRPr="00D72620" w:rsidRDefault="00D72620" w:rsidP="00D72620">
      <w:pPr>
        <w:pStyle w:val="Paragraph"/>
      </w:pPr>
    </w:p>
    <w:p w14:paraId="35B614CB" w14:textId="27B62C3A" w:rsidR="00DC4898" w:rsidRDefault="00DC4898" w:rsidP="00DC4898">
      <w:pPr>
        <w:pStyle w:val="Heading2"/>
      </w:pPr>
      <w:r w:rsidRPr="00DC4898">
        <w:t>FIELD TRIAL EVALUATION METHOD</w:t>
      </w:r>
    </w:p>
    <w:p w14:paraId="35A254ED" w14:textId="77777777" w:rsidR="00DC4898" w:rsidRDefault="00DC4898" w:rsidP="00DC4898">
      <w:pPr>
        <w:jc w:val="both"/>
        <w:rPr>
          <w:rFonts w:eastAsiaTheme="minorHAnsi"/>
          <w:szCs w:val="24"/>
        </w:rPr>
      </w:pPr>
      <w:r>
        <w:rPr>
          <w:rFonts w:eastAsiaTheme="minorHAnsi"/>
          <w:szCs w:val="24"/>
        </w:rPr>
        <w:t>The method used for evaluating the Schmoo Remover chemical performance is by monitoring the pressure drop and flowrate changes with same operating condition of the injection pumps. The pressure drop and flowrate changes data will be correlated using Hazen-Williams pressure formula.</w:t>
      </w:r>
    </w:p>
    <w:p w14:paraId="2FA0C77D" w14:textId="77777777" w:rsidR="00DC4898" w:rsidRDefault="00DC4898" w:rsidP="00DC4898">
      <w:pPr>
        <w:jc w:val="both"/>
        <w:rPr>
          <w:rFonts w:eastAsiaTheme="minorHAnsi"/>
          <w:szCs w:val="24"/>
        </w:rPr>
      </w:pPr>
    </w:p>
    <w:p w14:paraId="4611D383" w14:textId="77777777" w:rsidR="00DC4898" w:rsidRPr="00103DA5" w:rsidRDefault="00DC4898" w:rsidP="00DC4898">
      <w:pPr>
        <w:jc w:val="both"/>
        <w:rPr>
          <w:rFonts w:eastAsiaTheme="minorHAnsi"/>
          <w:szCs w:val="24"/>
        </w:rPr>
      </w:pPr>
      <w:r w:rsidRPr="00103DA5">
        <w:rPr>
          <w:rFonts w:eastAsiaTheme="minorHAnsi"/>
          <w:szCs w:val="24"/>
        </w:rPr>
        <w:t xml:space="preserve">The Hazen–Williams equation is an empirical relationship which relates the flow of water in a pipe with the physical properties of the pipe and the pressure drop caused by friction. It is used in the </w:t>
      </w:r>
      <w:r>
        <w:rPr>
          <w:rFonts w:eastAsiaTheme="minorHAnsi"/>
          <w:szCs w:val="24"/>
        </w:rPr>
        <w:t xml:space="preserve">design of water pipe systems </w:t>
      </w:r>
      <w:r w:rsidRPr="00103DA5">
        <w:rPr>
          <w:rFonts w:eastAsiaTheme="minorHAnsi"/>
          <w:szCs w:val="24"/>
        </w:rPr>
        <w:t>suc</w:t>
      </w:r>
      <w:r>
        <w:rPr>
          <w:rFonts w:eastAsiaTheme="minorHAnsi"/>
          <w:szCs w:val="24"/>
        </w:rPr>
        <w:t xml:space="preserve">h as fire sprinkler systems, </w:t>
      </w:r>
      <w:r w:rsidRPr="00103DA5">
        <w:rPr>
          <w:rFonts w:eastAsiaTheme="minorHAnsi"/>
          <w:szCs w:val="24"/>
        </w:rPr>
        <w:t>water supply networks, and irrigation systems. It is named after Allen Hazen and Gardner Stewart Williams.</w:t>
      </w:r>
    </w:p>
    <w:p w14:paraId="34EC1EE9" w14:textId="77777777" w:rsidR="00DC4898" w:rsidRPr="00103DA5" w:rsidRDefault="00DC4898" w:rsidP="00DC4898">
      <w:pPr>
        <w:jc w:val="both"/>
        <w:rPr>
          <w:rFonts w:eastAsiaTheme="minorHAnsi"/>
          <w:szCs w:val="24"/>
        </w:rPr>
      </w:pPr>
    </w:p>
    <w:p w14:paraId="616A8DB6" w14:textId="702C9181" w:rsidR="00DC4898" w:rsidRDefault="00DC4898" w:rsidP="00DC4898">
      <w:pPr>
        <w:jc w:val="both"/>
        <w:rPr>
          <w:rFonts w:eastAsiaTheme="minorHAnsi"/>
          <w:szCs w:val="24"/>
        </w:rPr>
      </w:pPr>
      <w:r w:rsidRPr="00103DA5">
        <w:rPr>
          <w:rFonts w:eastAsiaTheme="minorHAnsi"/>
          <w:szCs w:val="24"/>
        </w:rPr>
        <w:t>The Hazen–Williams equation has the advantage that the coefficient C is not a function of the Reynolds number, but it has the disadvantage t</w:t>
      </w:r>
      <w:r>
        <w:rPr>
          <w:rFonts w:eastAsiaTheme="minorHAnsi"/>
          <w:szCs w:val="24"/>
        </w:rPr>
        <w:t>hat it is only valid for water (Wikipedia, 2019).</w:t>
      </w:r>
    </w:p>
    <w:p w14:paraId="78D6FFE4" w14:textId="6B23BBBF" w:rsidR="00DC4898" w:rsidRDefault="00DC4898" w:rsidP="00DC4898">
      <w:pPr>
        <w:jc w:val="both"/>
        <w:rPr>
          <w:rFonts w:eastAsiaTheme="minorHAnsi"/>
          <w:szCs w:val="24"/>
        </w:rPr>
      </w:pPr>
    </w:p>
    <w:p w14:paraId="54E67A35" w14:textId="72B4F4CF" w:rsidR="00DC4898" w:rsidRDefault="00DC4898" w:rsidP="00DC4898">
      <w:pPr>
        <w:jc w:val="both"/>
        <w:rPr>
          <w:rFonts w:eastAsiaTheme="minorHAnsi"/>
          <w:szCs w:val="24"/>
        </w:rPr>
      </w:pPr>
      <w:r>
        <w:rPr>
          <w:noProof/>
        </w:rPr>
        <w:drawing>
          <wp:anchor distT="0" distB="0" distL="114300" distR="114300" simplePos="0" relativeHeight="251657216" behindDoc="0" locked="0" layoutInCell="1" allowOverlap="1" wp14:anchorId="60FB5A0B" wp14:editId="25BA2F4A">
            <wp:simplePos x="0" y="0"/>
            <wp:positionH relativeFrom="column">
              <wp:posOffset>0</wp:posOffset>
            </wp:positionH>
            <wp:positionV relativeFrom="paragraph">
              <wp:posOffset>-635</wp:posOffset>
            </wp:positionV>
            <wp:extent cx="1504950" cy="390525"/>
            <wp:effectExtent l="0" t="0" r="0"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04950" cy="390525"/>
                    </a:xfrm>
                    <a:prstGeom prst="rect">
                      <a:avLst/>
                    </a:prstGeom>
                    <a:noFill/>
                  </pic:spPr>
                </pic:pic>
              </a:graphicData>
            </a:graphic>
            <wp14:sizeRelH relativeFrom="page">
              <wp14:pctWidth>0</wp14:pctWidth>
            </wp14:sizeRelH>
            <wp14:sizeRelV relativeFrom="page">
              <wp14:pctHeight>0</wp14:pctHeight>
            </wp14:sizeRelV>
          </wp:anchor>
        </w:drawing>
      </w:r>
    </w:p>
    <w:p w14:paraId="23209B9E" w14:textId="3A389119" w:rsidR="00DC4898" w:rsidRDefault="00DC4898" w:rsidP="00DC4898">
      <w:pPr>
        <w:jc w:val="both"/>
        <w:rPr>
          <w:rFonts w:eastAsiaTheme="minorHAnsi"/>
          <w:szCs w:val="24"/>
        </w:rPr>
      </w:pPr>
    </w:p>
    <w:p w14:paraId="27232DF2" w14:textId="0BA669CB" w:rsidR="00DC4898" w:rsidRDefault="00DC4898" w:rsidP="00DC4898">
      <w:pPr>
        <w:jc w:val="both"/>
        <w:rPr>
          <w:rFonts w:eastAsiaTheme="minorHAnsi"/>
          <w:szCs w:val="24"/>
        </w:rPr>
      </w:pPr>
    </w:p>
    <w:p w14:paraId="3A6F0344" w14:textId="77777777" w:rsidR="00DC4898" w:rsidRDefault="00DC4898" w:rsidP="00DC4898">
      <w:pPr>
        <w:jc w:val="both"/>
        <w:rPr>
          <w:rFonts w:eastAsiaTheme="minorHAnsi"/>
          <w:szCs w:val="24"/>
        </w:rPr>
      </w:pPr>
      <w:r>
        <w:rPr>
          <w:rFonts w:eastAsiaTheme="minorHAnsi"/>
          <w:szCs w:val="24"/>
        </w:rPr>
        <w:t>Where :</w:t>
      </w:r>
    </w:p>
    <w:p w14:paraId="4FDD18B3" w14:textId="77777777" w:rsidR="00DC4898" w:rsidRPr="00765641" w:rsidRDefault="00DC4898" w:rsidP="00DC4898">
      <w:pPr>
        <w:jc w:val="both"/>
        <w:rPr>
          <w:rFonts w:eastAsiaTheme="minorHAnsi"/>
          <w:szCs w:val="24"/>
        </w:rPr>
      </w:pPr>
    </w:p>
    <w:p w14:paraId="7009726D" w14:textId="77777777" w:rsidR="00DC4898" w:rsidRDefault="00DC4898" w:rsidP="00DC4898">
      <w:pPr>
        <w:jc w:val="both"/>
        <w:rPr>
          <w:rFonts w:eastAsiaTheme="minorHAnsi"/>
          <w:szCs w:val="24"/>
        </w:rPr>
      </w:pPr>
      <w:r>
        <w:rPr>
          <w:rFonts w:eastAsiaTheme="minorHAnsi"/>
          <w:szCs w:val="24"/>
        </w:rPr>
        <w:t>h</w:t>
      </w:r>
      <w:r w:rsidRPr="00DC4898">
        <w:rPr>
          <w:rFonts w:eastAsiaTheme="minorHAnsi"/>
          <w:szCs w:val="24"/>
        </w:rPr>
        <w:t>f</w:t>
      </w:r>
      <w:r>
        <w:rPr>
          <w:rFonts w:eastAsiaTheme="minorHAnsi"/>
          <w:szCs w:val="24"/>
        </w:rPr>
        <w:tab/>
        <w:t xml:space="preserve">= </w:t>
      </w:r>
      <w:r w:rsidRPr="00765641">
        <w:rPr>
          <w:rFonts w:eastAsiaTheme="minorHAnsi"/>
          <w:szCs w:val="24"/>
        </w:rPr>
        <w:t>Pressure drop in meter water column</w:t>
      </w:r>
    </w:p>
    <w:p w14:paraId="5DBEDDF0" w14:textId="77777777" w:rsidR="00DC4898" w:rsidRDefault="00DC4898" w:rsidP="00DC4898">
      <w:pPr>
        <w:jc w:val="both"/>
        <w:rPr>
          <w:rFonts w:eastAsiaTheme="minorHAnsi"/>
          <w:szCs w:val="24"/>
        </w:rPr>
      </w:pPr>
      <w:r>
        <w:rPr>
          <w:rFonts w:eastAsiaTheme="minorHAnsi"/>
          <w:szCs w:val="24"/>
        </w:rPr>
        <w:t>L</w:t>
      </w:r>
      <w:r>
        <w:rPr>
          <w:rFonts w:eastAsiaTheme="minorHAnsi"/>
          <w:szCs w:val="24"/>
        </w:rPr>
        <w:tab/>
        <w:t xml:space="preserve">= </w:t>
      </w:r>
      <w:r w:rsidRPr="00765641">
        <w:rPr>
          <w:rFonts w:eastAsiaTheme="minorHAnsi"/>
          <w:szCs w:val="24"/>
        </w:rPr>
        <w:t>Pipe length in meter</w:t>
      </w:r>
    </w:p>
    <w:p w14:paraId="7E552C4E" w14:textId="77777777" w:rsidR="00DC4898" w:rsidRDefault="00DC4898" w:rsidP="00DC4898">
      <w:pPr>
        <w:jc w:val="both"/>
        <w:rPr>
          <w:rFonts w:eastAsiaTheme="minorHAnsi"/>
          <w:szCs w:val="24"/>
        </w:rPr>
      </w:pPr>
      <w:r>
        <w:rPr>
          <w:rFonts w:eastAsiaTheme="minorHAnsi"/>
          <w:szCs w:val="24"/>
        </w:rPr>
        <w:t>Q</w:t>
      </w:r>
      <w:r>
        <w:rPr>
          <w:rFonts w:eastAsiaTheme="minorHAnsi"/>
          <w:szCs w:val="24"/>
        </w:rPr>
        <w:tab/>
        <w:t xml:space="preserve">= </w:t>
      </w:r>
      <w:r w:rsidRPr="00765641">
        <w:rPr>
          <w:rFonts w:eastAsiaTheme="minorHAnsi"/>
          <w:szCs w:val="24"/>
        </w:rPr>
        <w:t>Volumetric flow rate in m</w:t>
      </w:r>
      <w:r w:rsidRPr="00DC4898">
        <w:rPr>
          <w:rFonts w:eastAsiaTheme="minorHAnsi"/>
          <w:szCs w:val="24"/>
        </w:rPr>
        <w:t>3</w:t>
      </w:r>
      <w:r w:rsidRPr="00765641">
        <w:rPr>
          <w:rFonts w:eastAsiaTheme="minorHAnsi"/>
          <w:szCs w:val="24"/>
        </w:rPr>
        <w:t>/s</w:t>
      </w:r>
    </w:p>
    <w:p w14:paraId="2491B0A9" w14:textId="77777777" w:rsidR="00DC4898" w:rsidRDefault="00DC4898" w:rsidP="00DC4898">
      <w:pPr>
        <w:jc w:val="both"/>
        <w:rPr>
          <w:rFonts w:eastAsiaTheme="minorHAnsi"/>
          <w:szCs w:val="24"/>
        </w:rPr>
      </w:pPr>
      <w:r>
        <w:rPr>
          <w:rFonts w:eastAsiaTheme="minorHAnsi"/>
          <w:szCs w:val="24"/>
        </w:rPr>
        <w:t>C</w:t>
      </w:r>
      <w:r>
        <w:rPr>
          <w:rFonts w:eastAsiaTheme="minorHAnsi"/>
          <w:szCs w:val="24"/>
        </w:rPr>
        <w:tab/>
        <w:t xml:space="preserve">= </w:t>
      </w:r>
      <w:r w:rsidRPr="00765641">
        <w:rPr>
          <w:rFonts w:eastAsiaTheme="minorHAnsi"/>
          <w:szCs w:val="24"/>
        </w:rPr>
        <w:t>Roughness coefficient</w:t>
      </w:r>
    </w:p>
    <w:p w14:paraId="043314D8" w14:textId="77777777" w:rsidR="00DC4898" w:rsidRDefault="00DC4898" w:rsidP="00DC4898">
      <w:pPr>
        <w:jc w:val="both"/>
        <w:rPr>
          <w:rFonts w:eastAsiaTheme="minorHAnsi"/>
          <w:szCs w:val="24"/>
        </w:rPr>
      </w:pPr>
      <w:r>
        <w:rPr>
          <w:rFonts w:eastAsiaTheme="minorHAnsi"/>
          <w:szCs w:val="24"/>
        </w:rPr>
        <w:t>d</w:t>
      </w:r>
      <w:r>
        <w:rPr>
          <w:rFonts w:eastAsiaTheme="minorHAnsi"/>
          <w:szCs w:val="24"/>
        </w:rPr>
        <w:tab/>
        <w:t xml:space="preserve">= </w:t>
      </w:r>
      <w:r w:rsidRPr="00765641">
        <w:rPr>
          <w:rFonts w:eastAsiaTheme="minorHAnsi"/>
          <w:szCs w:val="24"/>
        </w:rPr>
        <w:t>Pipe ID in meter</w:t>
      </w:r>
    </w:p>
    <w:p w14:paraId="0A355229" w14:textId="36B366F4" w:rsidR="00DC4898" w:rsidRDefault="00DC4898" w:rsidP="00DC4898">
      <w:pPr>
        <w:jc w:val="both"/>
        <w:rPr>
          <w:rFonts w:eastAsiaTheme="minorHAnsi"/>
          <w:szCs w:val="24"/>
        </w:rPr>
      </w:pPr>
    </w:p>
    <w:p w14:paraId="23FF45B7" w14:textId="26E73D30" w:rsidR="00DC4898" w:rsidRDefault="00DC4898" w:rsidP="00DC4898">
      <w:pPr>
        <w:jc w:val="both"/>
        <w:rPr>
          <w:rFonts w:eastAsiaTheme="minorHAnsi"/>
          <w:szCs w:val="24"/>
        </w:rPr>
      </w:pPr>
      <w:r w:rsidRPr="00AC0C3F">
        <w:rPr>
          <w:rFonts w:eastAsiaTheme="minorHAnsi"/>
          <w:szCs w:val="24"/>
        </w:rPr>
        <w:t>The Hazen–Williams equation has the advantage that the coefficient C is not a function of the Reynolds number</w:t>
      </w:r>
      <w:r>
        <w:rPr>
          <w:rFonts w:eastAsiaTheme="minorHAnsi"/>
          <w:szCs w:val="24"/>
        </w:rPr>
        <w:t xml:space="preserve"> and valid for water system since the flowing fluid in the water injection pipeline is produced water.</w:t>
      </w:r>
    </w:p>
    <w:p w14:paraId="102323F2" w14:textId="77777777" w:rsidR="00DC4898" w:rsidRDefault="00DC4898" w:rsidP="00DC4898">
      <w:pPr>
        <w:jc w:val="both"/>
        <w:rPr>
          <w:rFonts w:eastAsiaTheme="minorHAnsi"/>
          <w:szCs w:val="24"/>
        </w:rPr>
      </w:pPr>
    </w:p>
    <w:p w14:paraId="1322536D" w14:textId="108A44E0" w:rsidR="00DC4898" w:rsidRDefault="00DC4898" w:rsidP="00DC4898">
      <w:pPr>
        <w:jc w:val="both"/>
        <w:rPr>
          <w:rFonts w:eastAsiaTheme="minorHAnsi"/>
          <w:szCs w:val="24"/>
        </w:rPr>
      </w:pPr>
      <w:r>
        <w:rPr>
          <w:rFonts w:eastAsiaTheme="minorHAnsi"/>
          <w:szCs w:val="24"/>
        </w:rPr>
        <w:t>In this field trial, Hazen-Williamns Roughness Coefficient (C) is used to correlate / evaluate the effectiveness of cleaning activity by the Schmoo Remover chemical. The initial data (flowrate, pressure drop, and C coefficient will be recorded as baseline and will be compared with samekind data after injection. The increase of flowrate, decrease of pressure drop, and increase of C coefficient is the indication of success field trial.</w:t>
      </w:r>
    </w:p>
    <w:p w14:paraId="2381054A" w14:textId="59E874C2" w:rsidR="003C2682" w:rsidRDefault="003C2682" w:rsidP="00DC4898">
      <w:pPr>
        <w:jc w:val="both"/>
        <w:rPr>
          <w:rFonts w:eastAsiaTheme="minorHAnsi"/>
          <w:szCs w:val="24"/>
        </w:rPr>
      </w:pPr>
    </w:p>
    <w:p w14:paraId="45D419FB" w14:textId="77777777" w:rsidR="003C2682" w:rsidRDefault="003C2682" w:rsidP="00DC4898">
      <w:pPr>
        <w:jc w:val="both"/>
        <w:rPr>
          <w:rFonts w:eastAsiaTheme="minorHAnsi"/>
          <w:szCs w:val="24"/>
        </w:rPr>
      </w:pPr>
    </w:p>
    <w:p w14:paraId="5C1F8BE3" w14:textId="74F59469" w:rsidR="003C2682" w:rsidRDefault="003C2682" w:rsidP="003C2682">
      <w:pPr>
        <w:pStyle w:val="Heading2"/>
        <w:rPr>
          <w:rFonts w:eastAsiaTheme="minorHAnsi"/>
        </w:rPr>
      </w:pPr>
      <w:r w:rsidRPr="003C2682">
        <w:rPr>
          <w:rFonts w:eastAsiaTheme="minorHAnsi"/>
        </w:rPr>
        <w:lastRenderedPageBreak/>
        <w:t>FIELD TRIAL RESULT</w:t>
      </w:r>
    </w:p>
    <w:p w14:paraId="07706482" w14:textId="3205CD01" w:rsidR="003C2682" w:rsidRDefault="003C2682" w:rsidP="003C2682">
      <w:pPr>
        <w:jc w:val="both"/>
        <w:rPr>
          <w:rFonts w:eastAsiaTheme="minorHAnsi"/>
          <w:szCs w:val="24"/>
        </w:rPr>
      </w:pPr>
      <w:r>
        <w:rPr>
          <w:rFonts w:eastAsiaTheme="minorHAnsi"/>
          <w:szCs w:val="24"/>
        </w:rPr>
        <w:t>Below is the result of the field trial</w:t>
      </w:r>
    </w:p>
    <w:p w14:paraId="23967B4D" w14:textId="4902FF4B" w:rsidR="003F5EE8" w:rsidRDefault="003F5EE8" w:rsidP="003C2682">
      <w:pPr>
        <w:jc w:val="both"/>
        <w:rPr>
          <w:rFonts w:eastAsiaTheme="minorHAnsi"/>
          <w:szCs w:val="24"/>
        </w:rPr>
      </w:pPr>
    </w:p>
    <w:p w14:paraId="1308BC7C" w14:textId="37C910FC" w:rsidR="003F5EE8" w:rsidRDefault="003F5EE8" w:rsidP="003F5EE8">
      <w:pPr>
        <w:jc w:val="center"/>
        <w:rPr>
          <w:rFonts w:eastAsiaTheme="minorHAnsi"/>
          <w:szCs w:val="24"/>
        </w:rPr>
      </w:pPr>
      <w:r>
        <w:rPr>
          <w:rFonts w:eastAsiaTheme="minorHAnsi"/>
          <w:szCs w:val="24"/>
        </w:rPr>
        <w:t>Tabel 2. Field trial result</w:t>
      </w:r>
    </w:p>
    <w:p w14:paraId="7DCC90B6" w14:textId="2BD88CE1" w:rsidR="003C2682" w:rsidRDefault="003C2682" w:rsidP="003C2682">
      <w:pPr>
        <w:jc w:val="both"/>
        <w:rPr>
          <w:rFonts w:eastAsiaTheme="minorHAnsi"/>
          <w:szCs w:val="24"/>
        </w:rPr>
      </w:pPr>
    </w:p>
    <w:tbl>
      <w:tblPr>
        <w:tblW w:w="4860" w:type="dxa"/>
        <w:jc w:val="center"/>
        <w:tblLook w:val="04A0" w:firstRow="1" w:lastRow="0" w:firstColumn="1" w:lastColumn="0" w:noHBand="0" w:noVBand="1"/>
      </w:tblPr>
      <w:tblGrid>
        <w:gridCol w:w="568"/>
        <w:gridCol w:w="1028"/>
        <w:gridCol w:w="820"/>
        <w:gridCol w:w="700"/>
        <w:gridCol w:w="885"/>
        <w:gridCol w:w="960"/>
      </w:tblGrid>
      <w:tr w:rsidR="003C2682" w:rsidRPr="003C2682" w14:paraId="3217624E" w14:textId="77777777" w:rsidTr="003C2682">
        <w:trPr>
          <w:trHeight w:val="300"/>
          <w:jc w:val="center"/>
        </w:trPr>
        <w:tc>
          <w:tcPr>
            <w:tcW w:w="540"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61DE507"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Day</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03E81789"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Flowrate</w:t>
            </w:r>
          </w:p>
        </w:tc>
        <w:tc>
          <w:tcPr>
            <w:tcW w:w="820"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DB9C03"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C</w:t>
            </w:r>
          </w:p>
        </w:tc>
        <w:tc>
          <w:tcPr>
            <w:tcW w:w="700" w:type="dxa"/>
            <w:tcBorders>
              <w:top w:val="single" w:sz="4" w:space="0" w:color="auto"/>
              <w:left w:val="nil"/>
              <w:bottom w:val="single" w:sz="4" w:space="0" w:color="auto"/>
              <w:right w:val="single" w:sz="4" w:space="0" w:color="auto"/>
            </w:tcBorders>
            <w:shd w:val="clear" w:color="000000" w:fill="D9D9D9"/>
            <w:noWrap/>
            <w:vAlign w:val="bottom"/>
            <w:hideMark/>
          </w:tcPr>
          <w:p w14:paraId="78FD1699"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dP</w:t>
            </w:r>
          </w:p>
        </w:tc>
        <w:tc>
          <w:tcPr>
            <w:tcW w:w="880" w:type="dxa"/>
            <w:tcBorders>
              <w:top w:val="single" w:sz="4" w:space="0" w:color="auto"/>
              <w:left w:val="nil"/>
              <w:bottom w:val="single" w:sz="4" w:space="0" w:color="auto"/>
              <w:right w:val="single" w:sz="4" w:space="0" w:color="auto"/>
            </w:tcBorders>
            <w:shd w:val="clear" w:color="000000" w:fill="D9D9D9"/>
            <w:noWrap/>
            <w:vAlign w:val="bottom"/>
            <w:hideMark/>
          </w:tcPr>
          <w:p w14:paraId="2058E0FF"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Dosage</w:t>
            </w:r>
          </w:p>
        </w:tc>
        <w:tc>
          <w:tcPr>
            <w:tcW w:w="960"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CBC6265"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Remark</w:t>
            </w:r>
          </w:p>
        </w:tc>
      </w:tr>
      <w:tr w:rsidR="003C2682" w:rsidRPr="003C2682" w14:paraId="6BA5AF28" w14:textId="77777777" w:rsidTr="003C2682">
        <w:trPr>
          <w:trHeight w:val="300"/>
          <w:jc w:val="center"/>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46232B38" w14:textId="77777777" w:rsidR="003C2682" w:rsidRPr="003C2682" w:rsidRDefault="003C2682" w:rsidP="003C2682">
            <w:pPr>
              <w:rPr>
                <w:rFonts w:ascii="Calibri" w:hAnsi="Calibri" w:cs="Calibri"/>
                <w:b/>
                <w:bCs/>
                <w:color w:val="000000"/>
                <w:sz w:val="22"/>
                <w:szCs w:val="22"/>
              </w:rPr>
            </w:pPr>
          </w:p>
        </w:tc>
        <w:tc>
          <w:tcPr>
            <w:tcW w:w="960" w:type="dxa"/>
            <w:tcBorders>
              <w:top w:val="nil"/>
              <w:left w:val="nil"/>
              <w:bottom w:val="single" w:sz="4" w:space="0" w:color="auto"/>
              <w:right w:val="single" w:sz="4" w:space="0" w:color="auto"/>
            </w:tcBorders>
            <w:shd w:val="clear" w:color="000000" w:fill="D9D9D9"/>
            <w:noWrap/>
            <w:vAlign w:val="bottom"/>
            <w:hideMark/>
          </w:tcPr>
          <w:p w14:paraId="4E3DD7DD"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BWPD</w:t>
            </w:r>
          </w:p>
        </w:tc>
        <w:tc>
          <w:tcPr>
            <w:tcW w:w="820" w:type="dxa"/>
            <w:vMerge/>
            <w:tcBorders>
              <w:top w:val="single" w:sz="4" w:space="0" w:color="auto"/>
              <w:left w:val="single" w:sz="4" w:space="0" w:color="auto"/>
              <w:bottom w:val="single" w:sz="4" w:space="0" w:color="auto"/>
              <w:right w:val="single" w:sz="4" w:space="0" w:color="auto"/>
            </w:tcBorders>
            <w:vAlign w:val="center"/>
            <w:hideMark/>
          </w:tcPr>
          <w:p w14:paraId="358F0EEE" w14:textId="77777777" w:rsidR="003C2682" w:rsidRPr="003C2682" w:rsidRDefault="003C2682" w:rsidP="003C2682">
            <w:pPr>
              <w:rPr>
                <w:rFonts w:ascii="Calibri" w:hAnsi="Calibri" w:cs="Calibri"/>
                <w:b/>
                <w:bCs/>
                <w:color w:val="000000"/>
                <w:sz w:val="22"/>
                <w:szCs w:val="22"/>
              </w:rPr>
            </w:pPr>
          </w:p>
        </w:tc>
        <w:tc>
          <w:tcPr>
            <w:tcW w:w="700" w:type="dxa"/>
            <w:tcBorders>
              <w:top w:val="nil"/>
              <w:left w:val="nil"/>
              <w:bottom w:val="single" w:sz="4" w:space="0" w:color="auto"/>
              <w:right w:val="single" w:sz="4" w:space="0" w:color="auto"/>
            </w:tcBorders>
            <w:shd w:val="clear" w:color="000000" w:fill="D9D9D9"/>
            <w:noWrap/>
            <w:vAlign w:val="bottom"/>
            <w:hideMark/>
          </w:tcPr>
          <w:p w14:paraId="4C3C8B8A"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Psig</w:t>
            </w:r>
          </w:p>
        </w:tc>
        <w:tc>
          <w:tcPr>
            <w:tcW w:w="880" w:type="dxa"/>
            <w:tcBorders>
              <w:top w:val="nil"/>
              <w:left w:val="nil"/>
              <w:bottom w:val="single" w:sz="4" w:space="0" w:color="auto"/>
              <w:right w:val="single" w:sz="4" w:space="0" w:color="auto"/>
            </w:tcBorders>
            <w:shd w:val="clear" w:color="000000" w:fill="D9D9D9"/>
            <w:noWrap/>
            <w:vAlign w:val="bottom"/>
            <w:hideMark/>
          </w:tcPr>
          <w:p w14:paraId="49C2071F"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ppmV</w:t>
            </w: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33980FDF" w14:textId="77777777" w:rsidR="003C2682" w:rsidRPr="003C2682" w:rsidRDefault="003C2682" w:rsidP="003C2682">
            <w:pPr>
              <w:rPr>
                <w:rFonts w:ascii="Calibri" w:hAnsi="Calibri" w:cs="Calibri"/>
                <w:b/>
                <w:bCs/>
                <w:color w:val="000000"/>
                <w:sz w:val="22"/>
                <w:szCs w:val="22"/>
              </w:rPr>
            </w:pPr>
          </w:p>
        </w:tc>
      </w:tr>
      <w:tr w:rsidR="003C2682" w:rsidRPr="003C2682" w14:paraId="36F6B306"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E3D86DE"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w:t>
            </w:r>
          </w:p>
        </w:tc>
        <w:tc>
          <w:tcPr>
            <w:tcW w:w="960" w:type="dxa"/>
            <w:tcBorders>
              <w:top w:val="nil"/>
              <w:left w:val="nil"/>
              <w:bottom w:val="single" w:sz="4" w:space="0" w:color="auto"/>
              <w:right w:val="single" w:sz="4" w:space="0" w:color="auto"/>
            </w:tcBorders>
            <w:shd w:val="clear" w:color="auto" w:fill="auto"/>
            <w:noWrap/>
            <w:vAlign w:val="bottom"/>
            <w:hideMark/>
          </w:tcPr>
          <w:p w14:paraId="296BDDDF"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6967</w:t>
            </w:r>
          </w:p>
        </w:tc>
        <w:tc>
          <w:tcPr>
            <w:tcW w:w="820" w:type="dxa"/>
            <w:tcBorders>
              <w:top w:val="nil"/>
              <w:left w:val="nil"/>
              <w:bottom w:val="single" w:sz="4" w:space="0" w:color="auto"/>
              <w:right w:val="single" w:sz="4" w:space="0" w:color="auto"/>
            </w:tcBorders>
            <w:shd w:val="clear" w:color="auto" w:fill="auto"/>
            <w:noWrap/>
            <w:vAlign w:val="bottom"/>
            <w:hideMark/>
          </w:tcPr>
          <w:p w14:paraId="2A2B8B14"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20,32</w:t>
            </w:r>
          </w:p>
        </w:tc>
        <w:tc>
          <w:tcPr>
            <w:tcW w:w="700" w:type="dxa"/>
            <w:tcBorders>
              <w:top w:val="nil"/>
              <w:left w:val="nil"/>
              <w:bottom w:val="single" w:sz="4" w:space="0" w:color="auto"/>
              <w:right w:val="single" w:sz="4" w:space="0" w:color="auto"/>
            </w:tcBorders>
            <w:shd w:val="clear" w:color="auto" w:fill="auto"/>
            <w:noWrap/>
            <w:vAlign w:val="bottom"/>
            <w:hideMark/>
          </w:tcPr>
          <w:p w14:paraId="63835AA6"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696</w:t>
            </w:r>
          </w:p>
        </w:tc>
        <w:tc>
          <w:tcPr>
            <w:tcW w:w="880" w:type="dxa"/>
            <w:tcBorders>
              <w:top w:val="nil"/>
              <w:left w:val="nil"/>
              <w:bottom w:val="single" w:sz="4" w:space="0" w:color="auto"/>
              <w:right w:val="single" w:sz="4" w:space="0" w:color="auto"/>
            </w:tcBorders>
            <w:shd w:val="clear" w:color="auto" w:fill="auto"/>
            <w:noWrap/>
            <w:vAlign w:val="bottom"/>
            <w:hideMark/>
          </w:tcPr>
          <w:p w14:paraId="41399115"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0</w:t>
            </w:r>
          </w:p>
        </w:tc>
        <w:tc>
          <w:tcPr>
            <w:tcW w:w="960" w:type="dxa"/>
            <w:vMerge w:val="restart"/>
            <w:tcBorders>
              <w:top w:val="nil"/>
              <w:left w:val="single" w:sz="4" w:space="0" w:color="auto"/>
              <w:bottom w:val="single" w:sz="4" w:space="0" w:color="000000"/>
              <w:right w:val="single" w:sz="4" w:space="0" w:color="auto"/>
            </w:tcBorders>
            <w:shd w:val="clear" w:color="auto" w:fill="auto"/>
            <w:noWrap/>
            <w:textDirection w:val="btLr"/>
            <w:vAlign w:val="center"/>
            <w:hideMark/>
          </w:tcPr>
          <w:p w14:paraId="587FB95B"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Before Injection</w:t>
            </w:r>
          </w:p>
        </w:tc>
      </w:tr>
      <w:tr w:rsidR="003C2682" w:rsidRPr="003C2682" w14:paraId="2BFDE11F"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13EB44A"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w:t>
            </w:r>
          </w:p>
        </w:tc>
        <w:tc>
          <w:tcPr>
            <w:tcW w:w="960" w:type="dxa"/>
            <w:tcBorders>
              <w:top w:val="nil"/>
              <w:left w:val="nil"/>
              <w:bottom w:val="single" w:sz="4" w:space="0" w:color="auto"/>
              <w:right w:val="single" w:sz="4" w:space="0" w:color="auto"/>
            </w:tcBorders>
            <w:shd w:val="clear" w:color="auto" w:fill="auto"/>
            <w:noWrap/>
            <w:vAlign w:val="bottom"/>
            <w:hideMark/>
          </w:tcPr>
          <w:p w14:paraId="4D973CD2"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6935</w:t>
            </w:r>
          </w:p>
        </w:tc>
        <w:tc>
          <w:tcPr>
            <w:tcW w:w="820" w:type="dxa"/>
            <w:tcBorders>
              <w:top w:val="nil"/>
              <w:left w:val="nil"/>
              <w:bottom w:val="single" w:sz="4" w:space="0" w:color="auto"/>
              <w:right w:val="single" w:sz="4" w:space="0" w:color="auto"/>
            </w:tcBorders>
            <w:shd w:val="clear" w:color="auto" w:fill="auto"/>
            <w:noWrap/>
            <w:vAlign w:val="bottom"/>
            <w:hideMark/>
          </w:tcPr>
          <w:p w14:paraId="3E051822"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20,50</w:t>
            </w:r>
          </w:p>
        </w:tc>
        <w:tc>
          <w:tcPr>
            <w:tcW w:w="700" w:type="dxa"/>
            <w:tcBorders>
              <w:top w:val="nil"/>
              <w:left w:val="nil"/>
              <w:bottom w:val="single" w:sz="4" w:space="0" w:color="auto"/>
              <w:right w:val="single" w:sz="4" w:space="0" w:color="auto"/>
            </w:tcBorders>
            <w:shd w:val="clear" w:color="auto" w:fill="auto"/>
            <w:noWrap/>
            <w:vAlign w:val="bottom"/>
            <w:hideMark/>
          </w:tcPr>
          <w:p w14:paraId="647BB401"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679</w:t>
            </w:r>
          </w:p>
        </w:tc>
        <w:tc>
          <w:tcPr>
            <w:tcW w:w="880" w:type="dxa"/>
            <w:tcBorders>
              <w:top w:val="nil"/>
              <w:left w:val="nil"/>
              <w:bottom w:val="single" w:sz="4" w:space="0" w:color="auto"/>
              <w:right w:val="single" w:sz="4" w:space="0" w:color="auto"/>
            </w:tcBorders>
            <w:shd w:val="clear" w:color="auto" w:fill="auto"/>
            <w:noWrap/>
            <w:vAlign w:val="bottom"/>
            <w:hideMark/>
          </w:tcPr>
          <w:p w14:paraId="78B57A87"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0</w:t>
            </w:r>
          </w:p>
        </w:tc>
        <w:tc>
          <w:tcPr>
            <w:tcW w:w="960" w:type="dxa"/>
            <w:vMerge/>
            <w:tcBorders>
              <w:top w:val="nil"/>
              <w:left w:val="single" w:sz="4" w:space="0" w:color="auto"/>
              <w:bottom w:val="single" w:sz="4" w:space="0" w:color="000000"/>
              <w:right w:val="single" w:sz="4" w:space="0" w:color="auto"/>
            </w:tcBorders>
            <w:vAlign w:val="center"/>
            <w:hideMark/>
          </w:tcPr>
          <w:p w14:paraId="652A8A05" w14:textId="77777777" w:rsidR="003C2682" w:rsidRPr="003C2682" w:rsidRDefault="003C2682" w:rsidP="003C2682">
            <w:pPr>
              <w:rPr>
                <w:rFonts w:ascii="Calibri" w:hAnsi="Calibri" w:cs="Calibri"/>
                <w:b/>
                <w:bCs/>
                <w:color w:val="000000"/>
                <w:sz w:val="22"/>
                <w:szCs w:val="22"/>
              </w:rPr>
            </w:pPr>
          </w:p>
        </w:tc>
      </w:tr>
      <w:tr w:rsidR="003C2682" w:rsidRPr="003C2682" w14:paraId="194727BE"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5B22D0A"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shd w:val="clear" w:color="auto" w:fill="auto"/>
            <w:noWrap/>
            <w:vAlign w:val="bottom"/>
            <w:hideMark/>
          </w:tcPr>
          <w:p w14:paraId="5F76BD1C"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7065</w:t>
            </w:r>
          </w:p>
        </w:tc>
        <w:tc>
          <w:tcPr>
            <w:tcW w:w="820" w:type="dxa"/>
            <w:tcBorders>
              <w:top w:val="nil"/>
              <w:left w:val="nil"/>
              <w:bottom w:val="single" w:sz="4" w:space="0" w:color="auto"/>
              <w:right w:val="single" w:sz="4" w:space="0" w:color="auto"/>
            </w:tcBorders>
            <w:shd w:val="clear" w:color="auto" w:fill="auto"/>
            <w:noWrap/>
            <w:vAlign w:val="bottom"/>
            <w:hideMark/>
          </w:tcPr>
          <w:p w14:paraId="6941CB43"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20,77</w:t>
            </w:r>
          </w:p>
        </w:tc>
        <w:tc>
          <w:tcPr>
            <w:tcW w:w="700" w:type="dxa"/>
            <w:tcBorders>
              <w:top w:val="nil"/>
              <w:left w:val="nil"/>
              <w:bottom w:val="single" w:sz="4" w:space="0" w:color="auto"/>
              <w:right w:val="single" w:sz="4" w:space="0" w:color="auto"/>
            </w:tcBorders>
            <w:shd w:val="clear" w:color="auto" w:fill="auto"/>
            <w:noWrap/>
            <w:vAlign w:val="bottom"/>
            <w:hideMark/>
          </w:tcPr>
          <w:p w14:paraId="1C1FBF5B"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686</w:t>
            </w:r>
          </w:p>
        </w:tc>
        <w:tc>
          <w:tcPr>
            <w:tcW w:w="880" w:type="dxa"/>
            <w:tcBorders>
              <w:top w:val="nil"/>
              <w:left w:val="nil"/>
              <w:bottom w:val="single" w:sz="4" w:space="0" w:color="auto"/>
              <w:right w:val="single" w:sz="4" w:space="0" w:color="auto"/>
            </w:tcBorders>
            <w:shd w:val="clear" w:color="auto" w:fill="auto"/>
            <w:noWrap/>
            <w:vAlign w:val="bottom"/>
            <w:hideMark/>
          </w:tcPr>
          <w:p w14:paraId="08FCBCC3"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0</w:t>
            </w:r>
          </w:p>
        </w:tc>
        <w:tc>
          <w:tcPr>
            <w:tcW w:w="960" w:type="dxa"/>
            <w:vMerge/>
            <w:tcBorders>
              <w:top w:val="nil"/>
              <w:left w:val="single" w:sz="4" w:space="0" w:color="auto"/>
              <w:bottom w:val="single" w:sz="4" w:space="0" w:color="000000"/>
              <w:right w:val="single" w:sz="4" w:space="0" w:color="auto"/>
            </w:tcBorders>
            <w:vAlign w:val="center"/>
            <w:hideMark/>
          </w:tcPr>
          <w:p w14:paraId="62E228E1" w14:textId="77777777" w:rsidR="003C2682" w:rsidRPr="003C2682" w:rsidRDefault="003C2682" w:rsidP="003C2682">
            <w:pPr>
              <w:rPr>
                <w:rFonts w:ascii="Calibri" w:hAnsi="Calibri" w:cs="Calibri"/>
                <w:b/>
                <w:bCs/>
                <w:color w:val="000000"/>
                <w:sz w:val="22"/>
                <w:szCs w:val="22"/>
              </w:rPr>
            </w:pPr>
          </w:p>
        </w:tc>
      </w:tr>
      <w:tr w:rsidR="003C2682" w:rsidRPr="003C2682" w14:paraId="463C9D03"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9CC5BFE"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4</w:t>
            </w:r>
          </w:p>
        </w:tc>
        <w:tc>
          <w:tcPr>
            <w:tcW w:w="960" w:type="dxa"/>
            <w:tcBorders>
              <w:top w:val="nil"/>
              <w:left w:val="nil"/>
              <w:bottom w:val="single" w:sz="4" w:space="0" w:color="auto"/>
              <w:right w:val="single" w:sz="4" w:space="0" w:color="auto"/>
            </w:tcBorders>
            <w:shd w:val="clear" w:color="auto" w:fill="auto"/>
            <w:noWrap/>
            <w:vAlign w:val="bottom"/>
            <w:hideMark/>
          </w:tcPr>
          <w:p w14:paraId="0FF2136A"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7185</w:t>
            </w:r>
          </w:p>
        </w:tc>
        <w:tc>
          <w:tcPr>
            <w:tcW w:w="820" w:type="dxa"/>
            <w:tcBorders>
              <w:top w:val="nil"/>
              <w:left w:val="nil"/>
              <w:bottom w:val="single" w:sz="4" w:space="0" w:color="auto"/>
              <w:right w:val="single" w:sz="4" w:space="0" w:color="auto"/>
            </w:tcBorders>
            <w:shd w:val="clear" w:color="auto" w:fill="auto"/>
            <w:noWrap/>
            <w:vAlign w:val="bottom"/>
            <w:hideMark/>
          </w:tcPr>
          <w:p w14:paraId="54DF91D0"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20,91</w:t>
            </w:r>
          </w:p>
        </w:tc>
        <w:tc>
          <w:tcPr>
            <w:tcW w:w="700" w:type="dxa"/>
            <w:tcBorders>
              <w:top w:val="nil"/>
              <w:left w:val="nil"/>
              <w:bottom w:val="single" w:sz="4" w:space="0" w:color="auto"/>
              <w:right w:val="single" w:sz="4" w:space="0" w:color="auto"/>
            </w:tcBorders>
            <w:shd w:val="clear" w:color="auto" w:fill="auto"/>
            <w:noWrap/>
            <w:vAlign w:val="bottom"/>
            <w:hideMark/>
          </w:tcPr>
          <w:p w14:paraId="1FE9BD45"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699</w:t>
            </w:r>
          </w:p>
        </w:tc>
        <w:tc>
          <w:tcPr>
            <w:tcW w:w="880" w:type="dxa"/>
            <w:tcBorders>
              <w:top w:val="nil"/>
              <w:left w:val="nil"/>
              <w:bottom w:val="single" w:sz="4" w:space="0" w:color="auto"/>
              <w:right w:val="single" w:sz="4" w:space="0" w:color="auto"/>
            </w:tcBorders>
            <w:shd w:val="clear" w:color="auto" w:fill="auto"/>
            <w:noWrap/>
            <w:vAlign w:val="bottom"/>
            <w:hideMark/>
          </w:tcPr>
          <w:p w14:paraId="650EB856"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0</w:t>
            </w:r>
          </w:p>
        </w:tc>
        <w:tc>
          <w:tcPr>
            <w:tcW w:w="960" w:type="dxa"/>
            <w:vMerge/>
            <w:tcBorders>
              <w:top w:val="nil"/>
              <w:left w:val="single" w:sz="4" w:space="0" w:color="auto"/>
              <w:bottom w:val="single" w:sz="4" w:space="0" w:color="000000"/>
              <w:right w:val="single" w:sz="4" w:space="0" w:color="auto"/>
            </w:tcBorders>
            <w:vAlign w:val="center"/>
            <w:hideMark/>
          </w:tcPr>
          <w:p w14:paraId="00C2A4E5" w14:textId="77777777" w:rsidR="003C2682" w:rsidRPr="003C2682" w:rsidRDefault="003C2682" w:rsidP="003C2682">
            <w:pPr>
              <w:rPr>
                <w:rFonts w:ascii="Calibri" w:hAnsi="Calibri" w:cs="Calibri"/>
                <w:b/>
                <w:bCs/>
                <w:color w:val="000000"/>
                <w:sz w:val="22"/>
                <w:szCs w:val="22"/>
              </w:rPr>
            </w:pPr>
          </w:p>
        </w:tc>
      </w:tr>
      <w:tr w:rsidR="003C2682" w:rsidRPr="003C2682" w14:paraId="527CF2EF"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E60624C"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5</w:t>
            </w:r>
          </w:p>
        </w:tc>
        <w:tc>
          <w:tcPr>
            <w:tcW w:w="960" w:type="dxa"/>
            <w:tcBorders>
              <w:top w:val="nil"/>
              <w:left w:val="nil"/>
              <w:bottom w:val="single" w:sz="4" w:space="0" w:color="auto"/>
              <w:right w:val="single" w:sz="4" w:space="0" w:color="auto"/>
            </w:tcBorders>
            <w:shd w:val="clear" w:color="auto" w:fill="auto"/>
            <w:noWrap/>
            <w:vAlign w:val="bottom"/>
            <w:hideMark/>
          </w:tcPr>
          <w:p w14:paraId="72A7B341"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7121</w:t>
            </w:r>
          </w:p>
        </w:tc>
        <w:tc>
          <w:tcPr>
            <w:tcW w:w="820" w:type="dxa"/>
            <w:tcBorders>
              <w:top w:val="nil"/>
              <w:left w:val="nil"/>
              <w:bottom w:val="single" w:sz="4" w:space="0" w:color="auto"/>
              <w:right w:val="single" w:sz="4" w:space="0" w:color="auto"/>
            </w:tcBorders>
            <w:shd w:val="clear" w:color="auto" w:fill="auto"/>
            <w:noWrap/>
            <w:vAlign w:val="bottom"/>
            <w:hideMark/>
          </w:tcPr>
          <w:p w14:paraId="2694C6EA"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20,56</w:t>
            </w:r>
          </w:p>
        </w:tc>
        <w:tc>
          <w:tcPr>
            <w:tcW w:w="700" w:type="dxa"/>
            <w:tcBorders>
              <w:top w:val="nil"/>
              <w:left w:val="nil"/>
              <w:bottom w:val="single" w:sz="4" w:space="0" w:color="auto"/>
              <w:right w:val="single" w:sz="4" w:space="0" w:color="auto"/>
            </w:tcBorders>
            <w:shd w:val="clear" w:color="auto" w:fill="auto"/>
            <w:noWrap/>
            <w:vAlign w:val="bottom"/>
            <w:hideMark/>
          </w:tcPr>
          <w:p w14:paraId="349FD40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709</w:t>
            </w:r>
          </w:p>
        </w:tc>
        <w:tc>
          <w:tcPr>
            <w:tcW w:w="880" w:type="dxa"/>
            <w:tcBorders>
              <w:top w:val="nil"/>
              <w:left w:val="nil"/>
              <w:bottom w:val="single" w:sz="4" w:space="0" w:color="auto"/>
              <w:right w:val="single" w:sz="4" w:space="0" w:color="auto"/>
            </w:tcBorders>
            <w:shd w:val="clear" w:color="auto" w:fill="auto"/>
            <w:noWrap/>
            <w:vAlign w:val="bottom"/>
            <w:hideMark/>
          </w:tcPr>
          <w:p w14:paraId="7296D6C7"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0</w:t>
            </w:r>
          </w:p>
        </w:tc>
        <w:tc>
          <w:tcPr>
            <w:tcW w:w="960" w:type="dxa"/>
            <w:vMerge/>
            <w:tcBorders>
              <w:top w:val="nil"/>
              <w:left w:val="single" w:sz="4" w:space="0" w:color="auto"/>
              <w:bottom w:val="single" w:sz="4" w:space="0" w:color="000000"/>
              <w:right w:val="single" w:sz="4" w:space="0" w:color="auto"/>
            </w:tcBorders>
            <w:vAlign w:val="center"/>
            <w:hideMark/>
          </w:tcPr>
          <w:p w14:paraId="1FBA8B41" w14:textId="77777777" w:rsidR="003C2682" w:rsidRPr="003C2682" w:rsidRDefault="003C2682" w:rsidP="003C2682">
            <w:pPr>
              <w:rPr>
                <w:rFonts w:ascii="Calibri" w:hAnsi="Calibri" w:cs="Calibri"/>
                <w:b/>
                <w:bCs/>
                <w:color w:val="000000"/>
                <w:sz w:val="22"/>
                <w:szCs w:val="22"/>
              </w:rPr>
            </w:pPr>
          </w:p>
        </w:tc>
      </w:tr>
      <w:tr w:rsidR="003C2682" w:rsidRPr="003C2682" w14:paraId="0E8FFB8B"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E80AF1E"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w:t>
            </w:r>
          </w:p>
        </w:tc>
        <w:tc>
          <w:tcPr>
            <w:tcW w:w="960" w:type="dxa"/>
            <w:tcBorders>
              <w:top w:val="nil"/>
              <w:left w:val="nil"/>
              <w:bottom w:val="single" w:sz="4" w:space="0" w:color="auto"/>
              <w:right w:val="single" w:sz="4" w:space="0" w:color="auto"/>
            </w:tcBorders>
            <w:shd w:val="clear" w:color="auto" w:fill="auto"/>
            <w:noWrap/>
            <w:vAlign w:val="bottom"/>
            <w:hideMark/>
          </w:tcPr>
          <w:p w14:paraId="49CAC1C7"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7093</w:t>
            </w:r>
          </w:p>
        </w:tc>
        <w:tc>
          <w:tcPr>
            <w:tcW w:w="820" w:type="dxa"/>
            <w:tcBorders>
              <w:top w:val="nil"/>
              <w:left w:val="nil"/>
              <w:bottom w:val="single" w:sz="4" w:space="0" w:color="auto"/>
              <w:right w:val="single" w:sz="4" w:space="0" w:color="auto"/>
            </w:tcBorders>
            <w:shd w:val="clear" w:color="auto" w:fill="auto"/>
            <w:noWrap/>
            <w:vAlign w:val="bottom"/>
            <w:hideMark/>
          </w:tcPr>
          <w:p w14:paraId="0278CBC2"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20,40</w:t>
            </w:r>
          </w:p>
        </w:tc>
        <w:tc>
          <w:tcPr>
            <w:tcW w:w="700" w:type="dxa"/>
            <w:tcBorders>
              <w:top w:val="nil"/>
              <w:left w:val="nil"/>
              <w:bottom w:val="single" w:sz="4" w:space="0" w:color="auto"/>
              <w:right w:val="single" w:sz="4" w:space="0" w:color="auto"/>
            </w:tcBorders>
            <w:shd w:val="clear" w:color="auto" w:fill="auto"/>
            <w:noWrap/>
            <w:vAlign w:val="bottom"/>
            <w:hideMark/>
          </w:tcPr>
          <w:p w14:paraId="6F2D8A7F"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714</w:t>
            </w:r>
          </w:p>
        </w:tc>
        <w:tc>
          <w:tcPr>
            <w:tcW w:w="880" w:type="dxa"/>
            <w:tcBorders>
              <w:top w:val="nil"/>
              <w:left w:val="nil"/>
              <w:bottom w:val="single" w:sz="4" w:space="0" w:color="auto"/>
              <w:right w:val="single" w:sz="4" w:space="0" w:color="auto"/>
            </w:tcBorders>
            <w:shd w:val="clear" w:color="auto" w:fill="auto"/>
            <w:noWrap/>
            <w:vAlign w:val="bottom"/>
            <w:hideMark/>
          </w:tcPr>
          <w:p w14:paraId="41270CBF"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0</w:t>
            </w:r>
          </w:p>
        </w:tc>
        <w:tc>
          <w:tcPr>
            <w:tcW w:w="960" w:type="dxa"/>
            <w:vMerge/>
            <w:tcBorders>
              <w:top w:val="nil"/>
              <w:left w:val="single" w:sz="4" w:space="0" w:color="auto"/>
              <w:bottom w:val="single" w:sz="4" w:space="0" w:color="000000"/>
              <w:right w:val="single" w:sz="4" w:space="0" w:color="auto"/>
            </w:tcBorders>
            <w:vAlign w:val="center"/>
            <w:hideMark/>
          </w:tcPr>
          <w:p w14:paraId="1220C771" w14:textId="77777777" w:rsidR="003C2682" w:rsidRPr="003C2682" w:rsidRDefault="003C2682" w:rsidP="003C2682">
            <w:pPr>
              <w:rPr>
                <w:rFonts w:ascii="Calibri" w:hAnsi="Calibri" w:cs="Calibri"/>
                <w:b/>
                <w:bCs/>
                <w:color w:val="000000"/>
                <w:sz w:val="22"/>
                <w:szCs w:val="22"/>
              </w:rPr>
            </w:pPr>
          </w:p>
        </w:tc>
      </w:tr>
      <w:tr w:rsidR="003C2682" w:rsidRPr="003C2682" w14:paraId="304AF34E"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4B1AD88"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w:t>
            </w:r>
          </w:p>
        </w:tc>
        <w:tc>
          <w:tcPr>
            <w:tcW w:w="960" w:type="dxa"/>
            <w:tcBorders>
              <w:top w:val="nil"/>
              <w:left w:val="nil"/>
              <w:bottom w:val="single" w:sz="4" w:space="0" w:color="auto"/>
              <w:right w:val="single" w:sz="4" w:space="0" w:color="auto"/>
            </w:tcBorders>
            <w:shd w:val="clear" w:color="auto" w:fill="auto"/>
            <w:noWrap/>
            <w:vAlign w:val="bottom"/>
            <w:hideMark/>
          </w:tcPr>
          <w:p w14:paraId="6F5B106C"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7061</w:t>
            </w:r>
          </w:p>
        </w:tc>
        <w:tc>
          <w:tcPr>
            <w:tcW w:w="820" w:type="dxa"/>
            <w:tcBorders>
              <w:top w:val="nil"/>
              <w:left w:val="nil"/>
              <w:bottom w:val="single" w:sz="4" w:space="0" w:color="auto"/>
              <w:right w:val="single" w:sz="4" w:space="0" w:color="auto"/>
            </w:tcBorders>
            <w:shd w:val="clear" w:color="auto" w:fill="auto"/>
            <w:noWrap/>
            <w:vAlign w:val="bottom"/>
            <w:hideMark/>
          </w:tcPr>
          <w:p w14:paraId="1391ED28"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20,33</w:t>
            </w:r>
          </w:p>
        </w:tc>
        <w:tc>
          <w:tcPr>
            <w:tcW w:w="700" w:type="dxa"/>
            <w:tcBorders>
              <w:top w:val="nil"/>
              <w:left w:val="nil"/>
              <w:bottom w:val="single" w:sz="4" w:space="0" w:color="auto"/>
              <w:right w:val="single" w:sz="4" w:space="0" w:color="auto"/>
            </w:tcBorders>
            <w:shd w:val="clear" w:color="auto" w:fill="auto"/>
            <w:noWrap/>
            <w:vAlign w:val="bottom"/>
            <w:hideMark/>
          </w:tcPr>
          <w:p w14:paraId="6043DCF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713</w:t>
            </w:r>
          </w:p>
        </w:tc>
        <w:tc>
          <w:tcPr>
            <w:tcW w:w="880" w:type="dxa"/>
            <w:tcBorders>
              <w:top w:val="nil"/>
              <w:left w:val="nil"/>
              <w:bottom w:val="single" w:sz="4" w:space="0" w:color="auto"/>
              <w:right w:val="single" w:sz="4" w:space="0" w:color="auto"/>
            </w:tcBorders>
            <w:shd w:val="clear" w:color="auto" w:fill="auto"/>
            <w:noWrap/>
            <w:vAlign w:val="bottom"/>
            <w:hideMark/>
          </w:tcPr>
          <w:p w14:paraId="2681BE5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0</w:t>
            </w:r>
          </w:p>
        </w:tc>
        <w:tc>
          <w:tcPr>
            <w:tcW w:w="960" w:type="dxa"/>
            <w:vMerge/>
            <w:tcBorders>
              <w:top w:val="nil"/>
              <w:left w:val="single" w:sz="4" w:space="0" w:color="auto"/>
              <w:bottom w:val="single" w:sz="4" w:space="0" w:color="000000"/>
              <w:right w:val="single" w:sz="4" w:space="0" w:color="auto"/>
            </w:tcBorders>
            <w:vAlign w:val="center"/>
            <w:hideMark/>
          </w:tcPr>
          <w:p w14:paraId="5A70B134" w14:textId="77777777" w:rsidR="003C2682" w:rsidRPr="003C2682" w:rsidRDefault="003C2682" w:rsidP="003C2682">
            <w:pPr>
              <w:rPr>
                <w:rFonts w:ascii="Calibri" w:hAnsi="Calibri" w:cs="Calibri"/>
                <w:b/>
                <w:bCs/>
                <w:color w:val="000000"/>
                <w:sz w:val="22"/>
                <w:szCs w:val="22"/>
              </w:rPr>
            </w:pPr>
          </w:p>
        </w:tc>
      </w:tr>
      <w:tr w:rsidR="003C2682" w:rsidRPr="003C2682" w14:paraId="6977E621"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664C1E4"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8</w:t>
            </w:r>
          </w:p>
        </w:tc>
        <w:tc>
          <w:tcPr>
            <w:tcW w:w="960" w:type="dxa"/>
            <w:tcBorders>
              <w:top w:val="nil"/>
              <w:left w:val="nil"/>
              <w:bottom w:val="single" w:sz="4" w:space="0" w:color="auto"/>
              <w:right w:val="single" w:sz="4" w:space="0" w:color="auto"/>
            </w:tcBorders>
            <w:shd w:val="clear" w:color="auto" w:fill="auto"/>
            <w:noWrap/>
            <w:vAlign w:val="bottom"/>
            <w:hideMark/>
          </w:tcPr>
          <w:p w14:paraId="226F1767"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6993</w:t>
            </w:r>
          </w:p>
        </w:tc>
        <w:tc>
          <w:tcPr>
            <w:tcW w:w="820" w:type="dxa"/>
            <w:tcBorders>
              <w:top w:val="nil"/>
              <w:left w:val="nil"/>
              <w:bottom w:val="single" w:sz="4" w:space="0" w:color="auto"/>
              <w:right w:val="single" w:sz="4" w:space="0" w:color="auto"/>
            </w:tcBorders>
            <w:shd w:val="clear" w:color="auto" w:fill="auto"/>
            <w:noWrap/>
            <w:vAlign w:val="bottom"/>
            <w:hideMark/>
          </w:tcPr>
          <w:p w14:paraId="1AE1A083"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20,18</w:t>
            </w:r>
          </w:p>
        </w:tc>
        <w:tc>
          <w:tcPr>
            <w:tcW w:w="700" w:type="dxa"/>
            <w:tcBorders>
              <w:top w:val="nil"/>
              <w:left w:val="nil"/>
              <w:bottom w:val="single" w:sz="4" w:space="0" w:color="auto"/>
              <w:right w:val="single" w:sz="4" w:space="0" w:color="auto"/>
            </w:tcBorders>
            <w:shd w:val="clear" w:color="auto" w:fill="auto"/>
            <w:noWrap/>
            <w:vAlign w:val="bottom"/>
            <w:hideMark/>
          </w:tcPr>
          <w:p w14:paraId="5CD7901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710</w:t>
            </w:r>
          </w:p>
        </w:tc>
        <w:tc>
          <w:tcPr>
            <w:tcW w:w="880" w:type="dxa"/>
            <w:tcBorders>
              <w:top w:val="nil"/>
              <w:left w:val="nil"/>
              <w:bottom w:val="single" w:sz="4" w:space="0" w:color="auto"/>
              <w:right w:val="single" w:sz="4" w:space="0" w:color="auto"/>
            </w:tcBorders>
            <w:shd w:val="clear" w:color="auto" w:fill="auto"/>
            <w:noWrap/>
            <w:vAlign w:val="bottom"/>
            <w:hideMark/>
          </w:tcPr>
          <w:p w14:paraId="54C09029"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72</w:t>
            </w:r>
          </w:p>
        </w:tc>
        <w:tc>
          <w:tcPr>
            <w:tcW w:w="960" w:type="dxa"/>
            <w:vMerge w:val="restart"/>
            <w:tcBorders>
              <w:top w:val="nil"/>
              <w:left w:val="single" w:sz="4" w:space="0" w:color="auto"/>
              <w:bottom w:val="single" w:sz="4" w:space="0" w:color="auto"/>
              <w:right w:val="single" w:sz="4" w:space="0" w:color="auto"/>
            </w:tcBorders>
            <w:shd w:val="clear" w:color="auto" w:fill="auto"/>
            <w:noWrap/>
            <w:textDirection w:val="btLr"/>
            <w:vAlign w:val="center"/>
            <w:hideMark/>
          </w:tcPr>
          <w:p w14:paraId="7A6756BF" w14:textId="77777777" w:rsidR="003C2682" w:rsidRPr="003C2682" w:rsidRDefault="003C2682" w:rsidP="003C2682">
            <w:pPr>
              <w:jc w:val="center"/>
              <w:rPr>
                <w:rFonts w:ascii="Calibri" w:hAnsi="Calibri" w:cs="Calibri"/>
                <w:b/>
                <w:bCs/>
                <w:color w:val="000000"/>
                <w:sz w:val="22"/>
                <w:szCs w:val="22"/>
              </w:rPr>
            </w:pPr>
            <w:r w:rsidRPr="003C2682">
              <w:rPr>
                <w:rFonts w:ascii="Calibri" w:hAnsi="Calibri" w:cs="Calibri"/>
                <w:b/>
                <w:bCs/>
                <w:color w:val="000000"/>
                <w:sz w:val="22"/>
                <w:szCs w:val="22"/>
              </w:rPr>
              <w:t>After Injection</w:t>
            </w:r>
          </w:p>
        </w:tc>
      </w:tr>
      <w:tr w:rsidR="003C2682" w:rsidRPr="003C2682" w14:paraId="60B6B52E"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7C46CDC"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9</w:t>
            </w:r>
          </w:p>
        </w:tc>
        <w:tc>
          <w:tcPr>
            <w:tcW w:w="960" w:type="dxa"/>
            <w:tcBorders>
              <w:top w:val="nil"/>
              <w:left w:val="nil"/>
              <w:bottom w:val="single" w:sz="4" w:space="0" w:color="auto"/>
              <w:right w:val="single" w:sz="4" w:space="0" w:color="auto"/>
            </w:tcBorders>
            <w:shd w:val="clear" w:color="auto" w:fill="auto"/>
            <w:noWrap/>
            <w:vAlign w:val="bottom"/>
            <w:hideMark/>
          </w:tcPr>
          <w:p w14:paraId="05910AD8"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7058</w:t>
            </w:r>
          </w:p>
        </w:tc>
        <w:tc>
          <w:tcPr>
            <w:tcW w:w="820" w:type="dxa"/>
            <w:tcBorders>
              <w:top w:val="nil"/>
              <w:left w:val="nil"/>
              <w:bottom w:val="single" w:sz="4" w:space="0" w:color="auto"/>
              <w:right w:val="single" w:sz="4" w:space="0" w:color="auto"/>
            </w:tcBorders>
            <w:shd w:val="clear" w:color="auto" w:fill="auto"/>
            <w:noWrap/>
            <w:vAlign w:val="bottom"/>
            <w:hideMark/>
          </w:tcPr>
          <w:p w14:paraId="2859A88F"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20,52</w:t>
            </w:r>
          </w:p>
        </w:tc>
        <w:tc>
          <w:tcPr>
            <w:tcW w:w="700" w:type="dxa"/>
            <w:tcBorders>
              <w:top w:val="nil"/>
              <w:left w:val="nil"/>
              <w:bottom w:val="single" w:sz="4" w:space="0" w:color="auto"/>
              <w:right w:val="single" w:sz="4" w:space="0" w:color="auto"/>
            </w:tcBorders>
            <w:shd w:val="clear" w:color="auto" w:fill="auto"/>
            <w:noWrap/>
            <w:vAlign w:val="bottom"/>
            <w:hideMark/>
          </w:tcPr>
          <w:p w14:paraId="12A4303F"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700</w:t>
            </w:r>
          </w:p>
        </w:tc>
        <w:tc>
          <w:tcPr>
            <w:tcW w:w="880" w:type="dxa"/>
            <w:tcBorders>
              <w:top w:val="nil"/>
              <w:left w:val="nil"/>
              <w:bottom w:val="single" w:sz="4" w:space="0" w:color="auto"/>
              <w:right w:val="single" w:sz="4" w:space="0" w:color="auto"/>
            </w:tcBorders>
            <w:shd w:val="clear" w:color="auto" w:fill="auto"/>
            <w:noWrap/>
            <w:vAlign w:val="bottom"/>
            <w:hideMark/>
          </w:tcPr>
          <w:p w14:paraId="3FDBA080"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71</w:t>
            </w:r>
          </w:p>
        </w:tc>
        <w:tc>
          <w:tcPr>
            <w:tcW w:w="960" w:type="dxa"/>
            <w:vMerge/>
            <w:tcBorders>
              <w:top w:val="nil"/>
              <w:left w:val="single" w:sz="4" w:space="0" w:color="auto"/>
              <w:bottom w:val="single" w:sz="4" w:space="0" w:color="auto"/>
              <w:right w:val="single" w:sz="4" w:space="0" w:color="auto"/>
            </w:tcBorders>
            <w:vAlign w:val="center"/>
            <w:hideMark/>
          </w:tcPr>
          <w:p w14:paraId="67A93081" w14:textId="77777777" w:rsidR="003C2682" w:rsidRPr="003C2682" w:rsidRDefault="003C2682" w:rsidP="003C2682">
            <w:pPr>
              <w:rPr>
                <w:rFonts w:ascii="Calibri" w:hAnsi="Calibri" w:cs="Calibri"/>
                <w:b/>
                <w:bCs/>
                <w:color w:val="000000"/>
                <w:sz w:val="22"/>
                <w:szCs w:val="22"/>
              </w:rPr>
            </w:pPr>
          </w:p>
        </w:tc>
      </w:tr>
      <w:tr w:rsidR="003C2682" w:rsidRPr="003C2682" w14:paraId="49FB2F77"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5C518A43"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10</w:t>
            </w:r>
          </w:p>
        </w:tc>
        <w:tc>
          <w:tcPr>
            <w:tcW w:w="960" w:type="dxa"/>
            <w:tcBorders>
              <w:top w:val="nil"/>
              <w:left w:val="nil"/>
              <w:bottom w:val="single" w:sz="4" w:space="0" w:color="auto"/>
              <w:right w:val="single" w:sz="4" w:space="0" w:color="auto"/>
            </w:tcBorders>
            <w:shd w:val="clear" w:color="auto" w:fill="auto"/>
            <w:noWrap/>
            <w:vAlign w:val="bottom"/>
            <w:hideMark/>
          </w:tcPr>
          <w:p w14:paraId="3F322367"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6890</w:t>
            </w:r>
          </w:p>
        </w:tc>
        <w:tc>
          <w:tcPr>
            <w:tcW w:w="820" w:type="dxa"/>
            <w:tcBorders>
              <w:top w:val="nil"/>
              <w:left w:val="nil"/>
              <w:bottom w:val="single" w:sz="4" w:space="0" w:color="auto"/>
              <w:right w:val="single" w:sz="4" w:space="0" w:color="auto"/>
            </w:tcBorders>
            <w:shd w:val="clear" w:color="auto" w:fill="auto"/>
            <w:noWrap/>
            <w:vAlign w:val="bottom"/>
            <w:hideMark/>
          </w:tcPr>
          <w:p w14:paraId="0184F1F3"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21,52</w:t>
            </w:r>
          </w:p>
        </w:tc>
        <w:tc>
          <w:tcPr>
            <w:tcW w:w="700" w:type="dxa"/>
            <w:tcBorders>
              <w:top w:val="nil"/>
              <w:left w:val="nil"/>
              <w:bottom w:val="single" w:sz="4" w:space="0" w:color="auto"/>
              <w:right w:val="single" w:sz="4" w:space="0" w:color="auto"/>
            </w:tcBorders>
            <w:shd w:val="clear" w:color="auto" w:fill="auto"/>
            <w:noWrap/>
            <w:vAlign w:val="bottom"/>
            <w:hideMark/>
          </w:tcPr>
          <w:p w14:paraId="6442AE59"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613</w:t>
            </w:r>
          </w:p>
        </w:tc>
        <w:tc>
          <w:tcPr>
            <w:tcW w:w="880" w:type="dxa"/>
            <w:tcBorders>
              <w:top w:val="nil"/>
              <w:left w:val="nil"/>
              <w:bottom w:val="single" w:sz="4" w:space="0" w:color="auto"/>
              <w:right w:val="single" w:sz="4" w:space="0" w:color="auto"/>
            </w:tcBorders>
            <w:shd w:val="clear" w:color="auto" w:fill="auto"/>
            <w:noWrap/>
            <w:vAlign w:val="bottom"/>
            <w:hideMark/>
          </w:tcPr>
          <w:p w14:paraId="6D277994"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136</w:t>
            </w:r>
          </w:p>
        </w:tc>
        <w:tc>
          <w:tcPr>
            <w:tcW w:w="960" w:type="dxa"/>
            <w:vMerge/>
            <w:tcBorders>
              <w:top w:val="nil"/>
              <w:left w:val="single" w:sz="4" w:space="0" w:color="auto"/>
              <w:bottom w:val="single" w:sz="4" w:space="0" w:color="auto"/>
              <w:right w:val="single" w:sz="4" w:space="0" w:color="auto"/>
            </w:tcBorders>
            <w:vAlign w:val="center"/>
            <w:hideMark/>
          </w:tcPr>
          <w:p w14:paraId="1E7001A1" w14:textId="77777777" w:rsidR="003C2682" w:rsidRPr="003C2682" w:rsidRDefault="003C2682" w:rsidP="003C2682">
            <w:pPr>
              <w:rPr>
                <w:rFonts w:ascii="Calibri" w:hAnsi="Calibri" w:cs="Calibri"/>
                <w:b/>
                <w:bCs/>
                <w:color w:val="000000"/>
                <w:sz w:val="22"/>
                <w:szCs w:val="22"/>
              </w:rPr>
            </w:pPr>
          </w:p>
        </w:tc>
      </w:tr>
      <w:tr w:rsidR="003C2682" w:rsidRPr="003C2682" w14:paraId="1CEDE835"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458C7F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11</w:t>
            </w:r>
          </w:p>
        </w:tc>
        <w:tc>
          <w:tcPr>
            <w:tcW w:w="960" w:type="dxa"/>
            <w:tcBorders>
              <w:top w:val="nil"/>
              <w:left w:val="nil"/>
              <w:bottom w:val="single" w:sz="4" w:space="0" w:color="auto"/>
              <w:right w:val="single" w:sz="4" w:space="0" w:color="auto"/>
            </w:tcBorders>
            <w:shd w:val="clear" w:color="auto" w:fill="auto"/>
            <w:noWrap/>
            <w:vAlign w:val="bottom"/>
            <w:hideMark/>
          </w:tcPr>
          <w:p w14:paraId="1CFD13FF"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7110</w:t>
            </w:r>
          </w:p>
        </w:tc>
        <w:tc>
          <w:tcPr>
            <w:tcW w:w="820" w:type="dxa"/>
            <w:tcBorders>
              <w:top w:val="nil"/>
              <w:left w:val="nil"/>
              <w:bottom w:val="single" w:sz="4" w:space="0" w:color="auto"/>
              <w:right w:val="single" w:sz="4" w:space="0" w:color="auto"/>
            </w:tcBorders>
            <w:shd w:val="clear" w:color="auto" w:fill="auto"/>
            <w:noWrap/>
            <w:vAlign w:val="bottom"/>
            <w:hideMark/>
          </w:tcPr>
          <w:p w14:paraId="33F4E45F"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22,07</w:t>
            </w:r>
          </w:p>
        </w:tc>
        <w:tc>
          <w:tcPr>
            <w:tcW w:w="700" w:type="dxa"/>
            <w:tcBorders>
              <w:top w:val="nil"/>
              <w:left w:val="nil"/>
              <w:bottom w:val="single" w:sz="4" w:space="0" w:color="auto"/>
              <w:right w:val="single" w:sz="4" w:space="0" w:color="auto"/>
            </w:tcBorders>
            <w:shd w:val="clear" w:color="auto" w:fill="auto"/>
            <w:noWrap/>
            <w:vAlign w:val="bottom"/>
            <w:hideMark/>
          </w:tcPr>
          <w:p w14:paraId="54E9D5F8"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620</w:t>
            </w:r>
          </w:p>
        </w:tc>
        <w:tc>
          <w:tcPr>
            <w:tcW w:w="880" w:type="dxa"/>
            <w:tcBorders>
              <w:top w:val="nil"/>
              <w:left w:val="nil"/>
              <w:bottom w:val="single" w:sz="4" w:space="0" w:color="auto"/>
              <w:right w:val="single" w:sz="4" w:space="0" w:color="auto"/>
            </w:tcBorders>
            <w:shd w:val="clear" w:color="auto" w:fill="auto"/>
            <w:noWrap/>
            <w:vAlign w:val="bottom"/>
            <w:hideMark/>
          </w:tcPr>
          <w:p w14:paraId="29C2738C"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97</w:t>
            </w:r>
          </w:p>
        </w:tc>
        <w:tc>
          <w:tcPr>
            <w:tcW w:w="960" w:type="dxa"/>
            <w:vMerge/>
            <w:tcBorders>
              <w:top w:val="nil"/>
              <w:left w:val="single" w:sz="4" w:space="0" w:color="auto"/>
              <w:bottom w:val="single" w:sz="4" w:space="0" w:color="auto"/>
              <w:right w:val="single" w:sz="4" w:space="0" w:color="auto"/>
            </w:tcBorders>
            <w:vAlign w:val="center"/>
            <w:hideMark/>
          </w:tcPr>
          <w:p w14:paraId="23D77D48" w14:textId="77777777" w:rsidR="003C2682" w:rsidRPr="003C2682" w:rsidRDefault="003C2682" w:rsidP="003C2682">
            <w:pPr>
              <w:rPr>
                <w:rFonts w:ascii="Calibri" w:hAnsi="Calibri" w:cs="Calibri"/>
                <w:b/>
                <w:bCs/>
                <w:color w:val="000000"/>
                <w:sz w:val="22"/>
                <w:szCs w:val="22"/>
              </w:rPr>
            </w:pPr>
          </w:p>
        </w:tc>
      </w:tr>
      <w:tr w:rsidR="003C2682" w:rsidRPr="003C2682" w14:paraId="1F774506"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DF203CE"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12</w:t>
            </w:r>
          </w:p>
        </w:tc>
        <w:tc>
          <w:tcPr>
            <w:tcW w:w="960" w:type="dxa"/>
            <w:tcBorders>
              <w:top w:val="nil"/>
              <w:left w:val="nil"/>
              <w:bottom w:val="single" w:sz="4" w:space="0" w:color="auto"/>
              <w:right w:val="single" w:sz="4" w:space="0" w:color="auto"/>
            </w:tcBorders>
            <w:shd w:val="clear" w:color="auto" w:fill="auto"/>
            <w:noWrap/>
            <w:vAlign w:val="bottom"/>
            <w:hideMark/>
          </w:tcPr>
          <w:p w14:paraId="7888EBC5"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6629</w:t>
            </w:r>
          </w:p>
        </w:tc>
        <w:tc>
          <w:tcPr>
            <w:tcW w:w="820" w:type="dxa"/>
            <w:tcBorders>
              <w:top w:val="nil"/>
              <w:left w:val="nil"/>
              <w:bottom w:val="single" w:sz="4" w:space="0" w:color="auto"/>
              <w:right w:val="single" w:sz="4" w:space="0" w:color="auto"/>
            </w:tcBorders>
            <w:shd w:val="clear" w:color="auto" w:fill="auto"/>
            <w:noWrap/>
            <w:vAlign w:val="bottom"/>
            <w:hideMark/>
          </w:tcPr>
          <w:p w14:paraId="37C9E12C"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21,22</w:t>
            </w:r>
          </w:p>
        </w:tc>
        <w:tc>
          <w:tcPr>
            <w:tcW w:w="700" w:type="dxa"/>
            <w:tcBorders>
              <w:top w:val="nil"/>
              <w:left w:val="nil"/>
              <w:bottom w:val="single" w:sz="4" w:space="0" w:color="auto"/>
              <w:right w:val="single" w:sz="4" w:space="0" w:color="auto"/>
            </w:tcBorders>
            <w:shd w:val="clear" w:color="auto" w:fill="auto"/>
            <w:noWrap/>
            <w:vAlign w:val="bottom"/>
            <w:hideMark/>
          </w:tcPr>
          <w:p w14:paraId="56D03185"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586</w:t>
            </w:r>
          </w:p>
        </w:tc>
        <w:tc>
          <w:tcPr>
            <w:tcW w:w="880" w:type="dxa"/>
            <w:tcBorders>
              <w:top w:val="nil"/>
              <w:left w:val="nil"/>
              <w:bottom w:val="single" w:sz="4" w:space="0" w:color="auto"/>
              <w:right w:val="single" w:sz="4" w:space="0" w:color="auto"/>
            </w:tcBorders>
            <w:shd w:val="clear" w:color="auto" w:fill="auto"/>
            <w:noWrap/>
            <w:vAlign w:val="bottom"/>
            <w:hideMark/>
          </w:tcPr>
          <w:p w14:paraId="0C08A1AC"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104</w:t>
            </w:r>
          </w:p>
        </w:tc>
        <w:tc>
          <w:tcPr>
            <w:tcW w:w="960" w:type="dxa"/>
            <w:vMerge/>
            <w:tcBorders>
              <w:top w:val="nil"/>
              <w:left w:val="single" w:sz="4" w:space="0" w:color="auto"/>
              <w:bottom w:val="single" w:sz="4" w:space="0" w:color="auto"/>
              <w:right w:val="single" w:sz="4" w:space="0" w:color="auto"/>
            </w:tcBorders>
            <w:vAlign w:val="center"/>
            <w:hideMark/>
          </w:tcPr>
          <w:p w14:paraId="422EFB9B" w14:textId="77777777" w:rsidR="003C2682" w:rsidRPr="003C2682" w:rsidRDefault="003C2682" w:rsidP="003C2682">
            <w:pPr>
              <w:rPr>
                <w:rFonts w:ascii="Calibri" w:hAnsi="Calibri" w:cs="Calibri"/>
                <w:b/>
                <w:bCs/>
                <w:color w:val="000000"/>
                <w:sz w:val="22"/>
                <w:szCs w:val="22"/>
              </w:rPr>
            </w:pPr>
          </w:p>
        </w:tc>
      </w:tr>
      <w:tr w:rsidR="003C2682" w:rsidRPr="003C2682" w14:paraId="39FC2C8C"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3D9FB73E"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13</w:t>
            </w:r>
          </w:p>
        </w:tc>
        <w:tc>
          <w:tcPr>
            <w:tcW w:w="960" w:type="dxa"/>
            <w:tcBorders>
              <w:top w:val="nil"/>
              <w:left w:val="nil"/>
              <w:bottom w:val="single" w:sz="4" w:space="0" w:color="auto"/>
              <w:right w:val="single" w:sz="4" w:space="0" w:color="auto"/>
            </w:tcBorders>
            <w:shd w:val="clear" w:color="auto" w:fill="auto"/>
            <w:noWrap/>
            <w:vAlign w:val="bottom"/>
            <w:hideMark/>
          </w:tcPr>
          <w:p w14:paraId="3345AAFA"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6886</w:t>
            </w:r>
          </w:p>
        </w:tc>
        <w:tc>
          <w:tcPr>
            <w:tcW w:w="820" w:type="dxa"/>
            <w:tcBorders>
              <w:top w:val="nil"/>
              <w:left w:val="nil"/>
              <w:bottom w:val="single" w:sz="4" w:space="0" w:color="auto"/>
              <w:right w:val="single" w:sz="4" w:space="0" w:color="auto"/>
            </w:tcBorders>
            <w:shd w:val="clear" w:color="auto" w:fill="auto"/>
            <w:noWrap/>
            <w:vAlign w:val="bottom"/>
            <w:hideMark/>
          </w:tcPr>
          <w:p w14:paraId="12BD106A"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22,10</w:t>
            </w:r>
          </w:p>
        </w:tc>
        <w:tc>
          <w:tcPr>
            <w:tcW w:w="700" w:type="dxa"/>
            <w:tcBorders>
              <w:top w:val="nil"/>
              <w:left w:val="nil"/>
              <w:bottom w:val="single" w:sz="4" w:space="0" w:color="auto"/>
              <w:right w:val="single" w:sz="4" w:space="0" w:color="auto"/>
            </w:tcBorders>
            <w:shd w:val="clear" w:color="auto" w:fill="auto"/>
            <w:noWrap/>
            <w:vAlign w:val="bottom"/>
            <w:hideMark/>
          </w:tcPr>
          <w:p w14:paraId="7A2B72F1"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583</w:t>
            </w:r>
          </w:p>
        </w:tc>
        <w:tc>
          <w:tcPr>
            <w:tcW w:w="880" w:type="dxa"/>
            <w:tcBorders>
              <w:top w:val="nil"/>
              <w:left w:val="nil"/>
              <w:bottom w:val="single" w:sz="4" w:space="0" w:color="auto"/>
              <w:right w:val="single" w:sz="4" w:space="0" w:color="auto"/>
            </w:tcBorders>
            <w:shd w:val="clear" w:color="auto" w:fill="auto"/>
            <w:noWrap/>
            <w:vAlign w:val="bottom"/>
            <w:hideMark/>
          </w:tcPr>
          <w:p w14:paraId="6FE58FD8"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101</w:t>
            </w:r>
          </w:p>
        </w:tc>
        <w:tc>
          <w:tcPr>
            <w:tcW w:w="960" w:type="dxa"/>
            <w:vMerge/>
            <w:tcBorders>
              <w:top w:val="nil"/>
              <w:left w:val="single" w:sz="4" w:space="0" w:color="auto"/>
              <w:bottom w:val="single" w:sz="4" w:space="0" w:color="auto"/>
              <w:right w:val="single" w:sz="4" w:space="0" w:color="auto"/>
            </w:tcBorders>
            <w:vAlign w:val="center"/>
            <w:hideMark/>
          </w:tcPr>
          <w:p w14:paraId="54CC3AE4" w14:textId="77777777" w:rsidR="003C2682" w:rsidRPr="003C2682" w:rsidRDefault="003C2682" w:rsidP="003C2682">
            <w:pPr>
              <w:rPr>
                <w:rFonts w:ascii="Calibri" w:hAnsi="Calibri" w:cs="Calibri"/>
                <w:b/>
                <w:bCs/>
                <w:color w:val="000000"/>
                <w:sz w:val="22"/>
                <w:szCs w:val="22"/>
              </w:rPr>
            </w:pPr>
          </w:p>
        </w:tc>
      </w:tr>
      <w:tr w:rsidR="003C2682" w:rsidRPr="003C2682" w14:paraId="7B6F0869"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1A45CA08"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14</w:t>
            </w:r>
          </w:p>
        </w:tc>
        <w:tc>
          <w:tcPr>
            <w:tcW w:w="960" w:type="dxa"/>
            <w:tcBorders>
              <w:top w:val="nil"/>
              <w:left w:val="nil"/>
              <w:bottom w:val="single" w:sz="4" w:space="0" w:color="auto"/>
              <w:right w:val="single" w:sz="4" w:space="0" w:color="auto"/>
            </w:tcBorders>
            <w:shd w:val="clear" w:color="auto" w:fill="auto"/>
            <w:noWrap/>
            <w:vAlign w:val="bottom"/>
            <w:hideMark/>
          </w:tcPr>
          <w:p w14:paraId="02646037"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7177</w:t>
            </w:r>
          </w:p>
        </w:tc>
        <w:tc>
          <w:tcPr>
            <w:tcW w:w="820" w:type="dxa"/>
            <w:tcBorders>
              <w:top w:val="nil"/>
              <w:left w:val="nil"/>
              <w:bottom w:val="single" w:sz="4" w:space="0" w:color="auto"/>
              <w:right w:val="single" w:sz="4" w:space="0" w:color="auto"/>
            </w:tcBorders>
            <w:shd w:val="clear" w:color="auto" w:fill="auto"/>
            <w:noWrap/>
            <w:vAlign w:val="bottom"/>
            <w:hideMark/>
          </w:tcPr>
          <w:p w14:paraId="5FCBC025"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21,66</w:t>
            </w:r>
          </w:p>
        </w:tc>
        <w:tc>
          <w:tcPr>
            <w:tcW w:w="700" w:type="dxa"/>
            <w:tcBorders>
              <w:top w:val="nil"/>
              <w:left w:val="nil"/>
              <w:bottom w:val="single" w:sz="4" w:space="0" w:color="auto"/>
              <w:right w:val="single" w:sz="4" w:space="0" w:color="auto"/>
            </w:tcBorders>
            <w:shd w:val="clear" w:color="auto" w:fill="auto"/>
            <w:noWrap/>
            <w:vAlign w:val="bottom"/>
            <w:hideMark/>
          </w:tcPr>
          <w:p w14:paraId="2697450E"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653</w:t>
            </w:r>
          </w:p>
        </w:tc>
        <w:tc>
          <w:tcPr>
            <w:tcW w:w="880" w:type="dxa"/>
            <w:tcBorders>
              <w:top w:val="nil"/>
              <w:left w:val="nil"/>
              <w:bottom w:val="single" w:sz="4" w:space="0" w:color="auto"/>
              <w:right w:val="single" w:sz="4" w:space="0" w:color="auto"/>
            </w:tcBorders>
            <w:shd w:val="clear" w:color="auto" w:fill="auto"/>
            <w:noWrap/>
            <w:vAlign w:val="bottom"/>
            <w:hideMark/>
          </w:tcPr>
          <w:p w14:paraId="1440ED00"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88</w:t>
            </w:r>
          </w:p>
        </w:tc>
        <w:tc>
          <w:tcPr>
            <w:tcW w:w="960" w:type="dxa"/>
            <w:vMerge/>
            <w:tcBorders>
              <w:top w:val="nil"/>
              <w:left w:val="single" w:sz="4" w:space="0" w:color="auto"/>
              <w:bottom w:val="single" w:sz="4" w:space="0" w:color="auto"/>
              <w:right w:val="single" w:sz="4" w:space="0" w:color="auto"/>
            </w:tcBorders>
            <w:vAlign w:val="center"/>
            <w:hideMark/>
          </w:tcPr>
          <w:p w14:paraId="19D0D459" w14:textId="77777777" w:rsidR="003C2682" w:rsidRPr="003C2682" w:rsidRDefault="003C2682" w:rsidP="003C2682">
            <w:pPr>
              <w:rPr>
                <w:rFonts w:ascii="Calibri" w:hAnsi="Calibri" w:cs="Calibri"/>
                <w:b/>
                <w:bCs/>
                <w:color w:val="000000"/>
                <w:sz w:val="22"/>
                <w:szCs w:val="22"/>
              </w:rPr>
            </w:pPr>
          </w:p>
        </w:tc>
      </w:tr>
      <w:tr w:rsidR="003C2682" w:rsidRPr="003C2682" w14:paraId="48D3EB1B"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DA2992E"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15</w:t>
            </w:r>
          </w:p>
        </w:tc>
        <w:tc>
          <w:tcPr>
            <w:tcW w:w="960" w:type="dxa"/>
            <w:tcBorders>
              <w:top w:val="nil"/>
              <w:left w:val="nil"/>
              <w:bottom w:val="single" w:sz="4" w:space="0" w:color="auto"/>
              <w:right w:val="single" w:sz="4" w:space="0" w:color="auto"/>
            </w:tcBorders>
            <w:shd w:val="clear" w:color="auto" w:fill="auto"/>
            <w:noWrap/>
            <w:vAlign w:val="bottom"/>
            <w:hideMark/>
          </w:tcPr>
          <w:p w14:paraId="11DB6F6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7122</w:t>
            </w:r>
          </w:p>
        </w:tc>
        <w:tc>
          <w:tcPr>
            <w:tcW w:w="820" w:type="dxa"/>
            <w:tcBorders>
              <w:top w:val="nil"/>
              <w:left w:val="nil"/>
              <w:bottom w:val="single" w:sz="4" w:space="0" w:color="auto"/>
              <w:right w:val="single" w:sz="4" w:space="0" w:color="auto"/>
            </w:tcBorders>
            <w:shd w:val="clear" w:color="auto" w:fill="auto"/>
            <w:noWrap/>
            <w:vAlign w:val="bottom"/>
            <w:hideMark/>
          </w:tcPr>
          <w:p w14:paraId="2A4E69D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21,64</w:t>
            </w:r>
          </w:p>
        </w:tc>
        <w:tc>
          <w:tcPr>
            <w:tcW w:w="700" w:type="dxa"/>
            <w:tcBorders>
              <w:top w:val="nil"/>
              <w:left w:val="nil"/>
              <w:bottom w:val="single" w:sz="4" w:space="0" w:color="auto"/>
              <w:right w:val="single" w:sz="4" w:space="0" w:color="auto"/>
            </w:tcBorders>
            <w:shd w:val="clear" w:color="auto" w:fill="auto"/>
            <w:noWrap/>
            <w:vAlign w:val="bottom"/>
            <w:hideMark/>
          </w:tcPr>
          <w:p w14:paraId="1D3FFEC8"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645</w:t>
            </w:r>
          </w:p>
        </w:tc>
        <w:tc>
          <w:tcPr>
            <w:tcW w:w="880" w:type="dxa"/>
            <w:tcBorders>
              <w:top w:val="nil"/>
              <w:left w:val="nil"/>
              <w:bottom w:val="single" w:sz="4" w:space="0" w:color="auto"/>
              <w:right w:val="single" w:sz="4" w:space="0" w:color="auto"/>
            </w:tcBorders>
            <w:shd w:val="clear" w:color="auto" w:fill="auto"/>
            <w:noWrap/>
            <w:vAlign w:val="bottom"/>
            <w:hideMark/>
          </w:tcPr>
          <w:p w14:paraId="3B1DFAA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88</w:t>
            </w:r>
          </w:p>
        </w:tc>
        <w:tc>
          <w:tcPr>
            <w:tcW w:w="960" w:type="dxa"/>
            <w:vMerge/>
            <w:tcBorders>
              <w:top w:val="nil"/>
              <w:left w:val="single" w:sz="4" w:space="0" w:color="auto"/>
              <w:bottom w:val="single" w:sz="4" w:space="0" w:color="auto"/>
              <w:right w:val="single" w:sz="4" w:space="0" w:color="auto"/>
            </w:tcBorders>
            <w:vAlign w:val="center"/>
            <w:hideMark/>
          </w:tcPr>
          <w:p w14:paraId="08268549" w14:textId="77777777" w:rsidR="003C2682" w:rsidRPr="003C2682" w:rsidRDefault="003C2682" w:rsidP="003C2682">
            <w:pPr>
              <w:rPr>
                <w:rFonts w:ascii="Calibri" w:hAnsi="Calibri" w:cs="Calibri"/>
                <w:b/>
                <w:bCs/>
                <w:color w:val="000000"/>
                <w:sz w:val="22"/>
                <w:szCs w:val="22"/>
              </w:rPr>
            </w:pPr>
          </w:p>
        </w:tc>
      </w:tr>
      <w:tr w:rsidR="003C2682" w:rsidRPr="003C2682" w14:paraId="5E5E8D37"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04EF3D62"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16</w:t>
            </w:r>
          </w:p>
        </w:tc>
        <w:tc>
          <w:tcPr>
            <w:tcW w:w="960" w:type="dxa"/>
            <w:tcBorders>
              <w:top w:val="nil"/>
              <w:left w:val="nil"/>
              <w:bottom w:val="single" w:sz="4" w:space="0" w:color="auto"/>
              <w:right w:val="single" w:sz="4" w:space="0" w:color="auto"/>
            </w:tcBorders>
            <w:shd w:val="clear" w:color="auto" w:fill="auto"/>
            <w:noWrap/>
            <w:vAlign w:val="bottom"/>
            <w:hideMark/>
          </w:tcPr>
          <w:p w14:paraId="69129285"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7170</w:t>
            </w:r>
          </w:p>
        </w:tc>
        <w:tc>
          <w:tcPr>
            <w:tcW w:w="820" w:type="dxa"/>
            <w:tcBorders>
              <w:top w:val="nil"/>
              <w:left w:val="nil"/>
              <w:bottom w:val="single" w:sz="4" w:space="0" w:color="auto"/>
              <w:right w:val="single" w:sz="4" w:space="0" w:color="auto"/>
            </w:tcBorders>
            <w:shd w:val="clear" w:color="auto" w:fill="auto"/>
            <w:noWrap/>
            <w:vAlign w:val="bottom"/>
            <w:hideMark/>
          </w:tcPr>
          <w:p w14:paraId="088BE1D2"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21,77</w:t>
            </w:r>
          </w:p>
        </w:tc>
        <w:tc>
          <w:tcPr>
            <w:tcW w:w="700" w:type="dxa"/>
            <w:tcBorders>
              <w:top w:val="nil"/>
              <w:left w:val="nil"/>
              <w:bottom w:val="single" w:sz="4" w:space="0" w:color="auto"/>
              <w:right w:val="single" w:sz="4" w:space="0" w:color="auto"/>
            </w:tcBorders>
            <w:shd w:val="clear" w:color="auto" w:fill="auto"/>
            <w:noWrap/>
            <w:vAlign w:val="bottom"/>
            <w:hideMark/>
          </w:tcPr>
          <w:p w14:paraId="7962DF2C"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646</w:t>
            </w:r>
          </w:p>
        </w:tc>
        <w:tc>
          <w:tcPr>
            <w:tcW w:w="880" w:type="dxa"/>
            <w:tcBorders>
              <w:top w:val="nil"/>
              <w:left w:val="nil"/>
              <w:bottom w:val="single" w:sz="4" w:space="0" w:color="auto"/>
              <w:right w:val="single" w:sz="4" w:space="0" w:color="auto"/>
            </w:tcBorders>
            <w:shd w:val="clear" w:color="auto" w:fill="auto"/>
            <w:noWrap/>
            <w:vAlign w:val="bottom"/>
            <w:hideMark/>
          </w:tcPr>
          <w:p w14:paraId="6118896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88</w:t>
            </w:r>
          </w:p>
        </w:tc>
        <w:tc>
          <w:tcPr>
            <w:tcW w:w="960" w:type="dxa"/>
            <w:vMerge/>
            <w:tcBorders>
              <w:top w:val="nil"/>
              <w:left w:val="single" w:sz="4" w:space="0" w:color="auto"/>
              <w:bottom w:val="single" w:sz="4" w:space="0" w:color="auto"/>
              <w:right w:val="single" w:sz="4" w:space="0" w:color="auto"/>
            </w:tcBorders>
            <w:vAlign w:val="center"/>
            <w:hideMark/>
          </w:tcPr>
          <w:p w14:paraId="055D10EA" w14:textId="77777777" w:rsidR="003C2682" w:rsidRPr="003C2682" w:rsidRDefault="003C2682" w:rsidP="003C2682">
            <w:pPr>
              <w:rPr>
                <w:rFonts w:ascii="Calibri" w:hAnsi="Calibri" w:cs="Calibri"/>
                <w:b/>
                <w:bCs/>
                <w:color w:val="000000"/>
                <w:sz w:val="22"/>
                <w:szCs w:val="22"/>
              </w:rPr>
            </w:pPr>
          </w:p>
        </w:tc>
      </w:tr>
      <w:tr w:rsidR="003C2682" w:rsidRPr="003C2682" w14:paraId="70941A09"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C5C5743"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17</w:t>
            </w:r>
          </w:p>
        </w:tc>
        <w:tc>
          <w:tcPr>
            <w:tcW w:w="960" w:type="dxa"/>
            <w:tcBorders>
              <w:top w:val="nil"/>
              <w:left w:val="nil"/>
              <w:bottom w:val="single" w:sz="4" w:space="0" w:color="auto"/>
              <w:right w:val="single" w:sz="4" w:space="0" w:color="auto"/>
            </w:tcBorders>
            <w:shd w:val="clear" w:color="auto" w:fill="auto"/>
            <w:noWrap/>
            <w:vAlign w:val="bottom"/>
            <w:hideMark/>
          </w:tcPr>
          <w:p w14:paraId="2D8C8ED7"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7225</w:t>
            </w:r>
          </w:p>
        </w:tc>
        <w:tc>
          <w:tcPr>
            <w:tcW w:w="820" w:type="dxa"/>
            <w:tcBorders>
              <w:top w:val="nil"/>
              <w:left w:val="nil"/>
              <w:bottom w:val="single" w:sz="4" w:space="0" w:color="auto"/>
              <w:right w:val="single" w:sz="4" w:space="0" w:color="auto"/>
            </w:tcBorders>
            <w:shd w:val="clear" w:color="auto" w:fill="auto"/>
            <w:noWrap/>
            <w:vAlign w:val="bottom"/>
            <w:hideMark/>
          </w:tcPr>
          <w:p w14:paraId="04509E5C"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21,87</w:t>
            </w:r>
          </w:p>
        </w:tc>
        <w:tc>
          <w:tcPr>
            <w:tcW w:w="700" w:type="dxa"/>
            <w:tcBorders>
              <w:top w:val="nil"/>
              <w:left w:val="nil"/>
              <w:bottom w:val="single" w:sz="4" w:space="0" w:color="auto"/>
              <w:right w:val="single" w:sz="4" w:space="0" w:color="auto"/>
            </w:tcBorders>
            <w:shd w:val="clear" w:color="auto" w:fill="auto"/>
            <w:noWrap/>
            <w:vAlign w:val="bottom"/>
            <w:hideMark/>
          </w:tcPr>
          <w:p w14:paraId="23D7D124"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650</w:t>
            </w:r>
          </w:p>
        </w:tc>
        <w:tc>
          <w:tcPr>
            <w:tcW w:w="880" w:type="dxa"/>
            <w:tcBorders>
              <w:top w:val="nil"/>
              <w:left w:val="nil"/>
              <w:bottom w:val="single" w:sz="4" w:space="0" w:color="auto"/>
              <w:right w:val="single" w:sz="4" w:space="0" w:color="auto"/>
            </w:tcBorders>
            <w:shd w:val="clear" w:color="auto" w:fill="auto"/>
            <w:noWrap/>
            <w:vAlign w:val="bottom"/>
            <w:hideMark/>
          </w:tcPr>
          <w:p w14:paraId="297F21E1"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30</w:t>
            </w:r>
          </w:p>
        </w:tc>
        <w:tc>
          <w:tcPr>
            <w:tcW w:w="960" w:type="dxa"/>
            <w:vMerge/>
            <w:tcBorders>
              <w:top w:val="nil"/>
              <w:left w:val="single" w:sz="4" w:space="0" w:color="auto"/>
              <w:bottom w:val="single" w:sz="4" w:space="0" w:color="auto"/>
              <w:right w:val="single" w:sz="4" w:space="0" w:color="auto"/>
            </w:tcBorders>
            <w:vAlign w:val="center"/>
            <w:hideMark/>
          </w:tcPr>
          <w:p w14:paraId="0D437960" w14:textId="77777777" w:rsidR="003C2682" w:rsidRPr="003C2682" w:rsidRDefault="003C2682" w:rsidP="003C2682">
            <w:pPr>
              <w:rPr>
                <w:rFonts w:ascii="Calibri" w:hAnsi="Calibri" w:cs="Calibri"/>
                <w:b/>
                <w:bCs/>
                <w:color w:val="000000"/>
                <w:sz w:val="22"/>
                <w:szCs w:val="22"/>
              </w:rPr>
            </w:pPr>
          </w:p>
        </w:tc>
      </w:tr>
      <w:tr w:rsidR="003C2682" w:rsidRPr="003C2682" w14:paraId="6C03A3E5"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7CB7B404"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18</w:t>
            </w:r>
          </w:p>
        </w:tc>
        <w:tc>
          <w:tcPr>
            <w:tcW w:w="960" w:type="dxa"/>
            <w:tcBorders>
              <w:top w:val="nil"/>
              <w:left w:val="nil"/>
              <w:bottom w:val="single" w:sz="4" w:space="0" w:color="auto"/>
              <w:right w:val="single" w:sz="4" w:space="0" w:color="auto"/>
            </w:tcBorders>
            <w:shd w:val="clear" w:color="auto" w:fill="auto"/>
            <w:noWrap/>
            <w:vAlign w:val="bottom"/>
            <w:hideMark/>
          </w:tcPr>
          <w:p w14:paraId="2E81FB42"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7207</w:t>
            </w:r>
          </w:p>
        </w:tc>
        <w:tc>
          <w:tcPr>
            <w:tcW w:w="820" w:type="dxa"/>
            <w:tcBorders>
              <w:top w:val="nil"/>
              <w:left w:val="nil"/>
              <w:bottom w:val="single" w:sz="4" w:space="0" w:color="auto"/>
              <w:right w:val="single" w:sz="4" w:space="0" w:color="auto"/>
            </w:tcBorders>
            <w:shd w:val="clear" w:color="auto" w:fill="auto"/>
            <w:noWrap/>
            <w:vAlign w:val="bottom"/>
            <w:hideMark/>
          </w:tcPr>
          <w:p w14:paraId="4B90EBEB"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26,29</w:t>
            </w:r>
          </w:p>
        </w:tc>
        <w:tc>
          <w:tcPr>
            <w:tcW w:w="700" w:type="dxa"/>
            <w:tcBorders>
              <w:top w:val="nil"/>
              <w:left w:val="nil"/>
              <w:bottom w:val="single" w:sz="4" w:space="0" w:color="auto"/>
              <w:right w:val="single" w:sz="4" w:space="0" w:color="auto"/>
            </w:tcBorders>
            <w:shd w:val="clear" w:color="auto" w:fill="auto"/>
            <w:noWrap/>
            <w:vAlign w:val="bottom"/>
            <w:hideMark/>
          </w:tcPr>
          <w:p w14:paraId="11B76127"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460</w:t>
            </w:r>
          </w:p>
        </w:tc>
        <w:tc>
          <w:tcPr>
            <w:tcW w:w="880" w:type="dxa"/>
            <w:tcBorders>
              <w:top w:val="nil"/>
              <w:left w:val="nil"/>
              <w:bottom w:val="single" w:sz="4" w:space="0" w:color="auto"/>
              <w:right w:val="single" w:sz="4" w:space="0" w:color="auto"/>
            </w:tcBorders>
            <w:shd w:val="clear" w:color="auto" w:fill="auto"/>
            <w:noWrap/>
            <w:vAlign w:val="bottom"/>
            <w:hideMark/>
          </w:tcPr>
          <w:p w14:paraId="4316D349"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35</w:t>
            </w:r>
          </w:p>
        </w:tc>
        <w:tc>
          <w:tcPr>
            <w:tcW w:w="960" w:type="dxa"/>
            <w:vMerge/>
            <w:tcBorders>
              <w:top w:val="nil"/>
              <w:left w:val="single" w:sz="4" w:space="0" w:color="auto"/>
              <w:bottom w:val="single" w:sz="4" w:space="0" w:color="auto"/>
              <w:right w:val="single" w:sz="4" w:space="0" w:color="auto"/>
            </w:tcBorders>
            <w:vAlign w:val="center"/>
            <w:hideMark/>
          </w:tcPr>
          <w:p w14:paraId="5DB4613F" w14:textId="77777777" w:rsidR="003C2682" w:rsidRPr="003C2682" w:rsidRDefault="003C2682" w:rsidP="003C2682">
            <w:pPr>
              <w:rPr>
                <w:rFonts w:ascii="Calibri" w:hAnsi="Calibri" w:cs="Calibri"/>
                <w:b/>
                <w:bCs/>
                <w:color w:val="000000"/>
                <w:sz w:val="22"/>
                <w:szCs w:val="22"/>
              </w:rPr>
            </w:pPr>
          </w:p>
        </w:tc>
      </w:tr>
      <w:tr w:rsidR="003C2682" w:rsidRPr="003C2682" w14:paraId="43EF3690"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62B38B9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19</w:t>
            </w:r>
          </w:p>
        </w:tc>
        <w:tc>
          <w:tcPr>
            <w:tcW w:w="960" w:type="dxa"/>
            <w:tcBorders>
              <w:top w:val="nil"/>
              <w:left w:val="nil"/>
              <w:bottom w:val="single" w:sz="4" w:space="0" w:color="auto"/>
              <w:right w:val="single" w:sz="4" w:space="0" w:color="auto"/>
            </w:tcBorders>
            <w:shd w:val="clear" w:color="auto" w:fill="auto"/>
            <w:noWrap/>
            <w:vAlign w:val="bottom"/>
            <w:hideMark/>
          </w:tcPr>
          <w:p w14:paraId="1CFFF6F4"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7600</w:t>
            </w:r>
          </w:p>
        </w:tc>
        <w:tc>
          <w:tcPr>
            <w:tcW w:w="820" w:type="dxa"/>
            <w:tcBorders>
              <w:top w:val="nil"/>
              <w:left w:val="nil"/>
              <w:bottom w:val="single" w:sz="4" w:space="0" w:color="auto"/>
              <w:right w:val="single" w:sz="4" w:space="0" w:color="auto"/>
            </w:tcBorders>
            <w:shd w:val="clear" w:color="auto" w:fill="auto"/>
            <w:noWrap/>
            <w:vAlign w:val="bottom"/>
            <w:hideMark/>
          </w:tcPr>
          <w:p w14:paraId="22B1BE37"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25,95</w:t>
            </w:r>
          </w:p>
        </w:tc>
        <w:tc>
          <w:tcPr>
            <w:tcW w:w="700" w:type="dxa"/>
            <w:tcBorders>
              <w:top w:val="nil"/>
              <w:left w:val="nil"/>
              <w:bottom w:val="single" w:sz="4" w:space="0" w:color="auto"/>
              <w:right w:val="single" w:sz="4" w:space="0" w:color="auto"/>
            </w:tcBorders>
            <w:shd w:val="clear" w:color="auto" w:fill="auto"/>
            <w:noWrap/>
            <w:vAlign w:val="bottom"/>
            <w:hideMark/>
          </w:tcPr>
          <w:p w14:paraId="17DB1A13"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520</w:t>
            </w:r>
          </w:p>
        </w:tc>
        <w:tc>
          <w:tcPr>
            <w:tcW w:w="880" w:type="dxa"/>
            <w:tcBorders>
              <w:top w:val="nil"/>
              <w:left w:val="nil"/>
              <w:bottom w:val="single" w:sz="4" w:space="0" w:color="auto"/>
              <w:right w:val="single" w:sz="4" w:space="0" w:color="auto"/>
            </w:tcBorders>
            <w:shd w:val="clear" w:color="auto" w:fill="auto"/>
            <w:noWrap/>
            <w:vAlign w:val="bottom"/>
            <w:hideMark/>
          </w:tcPr>
          <w:p w14:paraId="4B84196D"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33</w:t>
            </w:r>
          </w:p>
        </w:tc>
        <w:tc>
          <w:tcPr>
            <w:tcW w:w="960" w:type="dxa"/>
            <w:vMerge/>
            <w:tcBorders>
              <w:top w:val="nil"/>
              <w:left w:val="single" w:sz="4" w:space="0" w:color="auto"/>
              <w:bottom w:val="single" w:sz="4" w:space="0" w:color="auto"/>
              <w:right w:val="single" w:sz="4" w:space="0" w:color="auto"/>
            </w:tcBorders>
            <w:vAlign w:val="center"/>
            <w:hideMark/>
          </w:tcPr>
          <w:p w14:paraId="25D0523A" w14:textId="77777777" w:rsidR="003C2682" w:rsidRPr="003C2682" w:rsidRDefault="003C2682" w:rsidP="003C2682">
            <w:pPr>
              <w:rPr>
                <w:rFonts w:ascii="Calibri" w:hAnsi="Calibri" w:cs="Calibri"/>
                <w:b/>
                <w:bCs/>
                <w:color w:val="000000"/>
                <w:sz w:val="22"/>
                <w:szCs w:val="22"/>
              </w:rPr>
            </w:pPr>
          </w:p>
        </w:tc>
      </w:tr>
      <w:tr w:rsidR="003C2682" w:rsidRPr="003C2682" w14:paraId="4D7979A9" w14:textId="77777777" w:rsidTr="003C2682">
        <w:trPr>
          <w:trHeight w:val="300"/>
          <w:jc w:val="center"/>
        </w:trPr>
        <w:tc>
          <w:tcPr>
            <w:tcW w:w="540" w:type="dxa"/>
            <w:tcBorders>
              <w:top w:val="nil"/>
              <w:left w:val="single" w:sz="4" w:space="0" w:color="auto"/>
              <w:bottom w:val="single" w:sz="4" w:space="0" w:color="auto"/>
              <w:right w:val="single" w:sz="4" w:space="0" w:color="auto"/>
            </w:tcBorders>
            <w:shd w:val="clear" w:color="auto" w:fill="auto"/>
            <w:noWrap/>
            <w:vAlign w:val="bottom"/>
            <w:hideMark/>
          </w:tcPr>
          <w:p w14:paraId="4B0D14B1"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20</w:t>
            </w:r>
          </w:p>
        </w:tc>
        <w:tc>
          <w:tcPr>
            <w:tcW w:w="960" w:type="dxa"/>
            <w:tcBorders>
              <w:top w:val="nil"/>
              <w:left w:val="nil"/>
              <w:bottom w:val="single" w:sz="4" w:space="0" w:color="auto"/>
              <w:right w:val="single" w:sz="4" w:space="0" w:color="auto"/>
            </w:tcBorders>
            <w:shd w:val="clear" w:color="auto" w:fill="auto"/>
            <w:noWrap/>
            <w:vAlign w:val="bottom"/>
            <w:hideMark/>
          </w:tcPr>
          <w:p w14:paraId="4FDFB719"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7948</w:t>
            </w:r>
          </w:p>
        </w:tc>
        <w:tc>
          <w:tcPr>
            <w:tcW w:w="820" w:type="dxa"/>
            <w:tcBorders>
              <w:top w:val="nil"/>
              <w:left w:val="nil"/>
              <w:bottom w:val="single" w:sz="4" w:space="0" w:color="auto"/>
              <w:right w:val="single" w:sz="4" w:space="0" w:color="auto"/>
            </w:tcBorders>
            <w:shd w:val="clear" w:color="auto" w:fill="auto"/>
            <w:noWrap/>
            <w:vAlign w:val="bottom"/>
            <w:hideMark/>
          </w:tcPr>
          <w:p w14:paraId="54800A08"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27,87</w:t>
            </w:r>
          </w:p>
        </w:tc>
        <w:tc>
          <w:tcPr>
            <w:tcW w:w="700" w:type="dxa"/>
            <w:tcBorders>
              <w:top w:val="nil"/>
              <w:left w:val="nil"/>
              <w:bottom w:val="single" w:sz="4" w:space="0" w:color="auto"/>
              <w:right w:val="single" w:sz="4" w:space="0" w:color="auto"/>
            </w:tcBorders>
            <w:shd w:val="clear" w:color="auto" w:fill="auto"/>
            <w:noWrap/>
            <w:vAlign w:val="bottom"/>
            <w:hideMark/>
          </w:tcPr>
          <w:p w14:paraId="4F0DA77A"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495</w:t>
            </w:r>
          </w:p>
        </w:tc>
        <w:tc>
          <w:tcPr>
            <w:tcW w:w="880" w:type="dxa"/>
            <w:tcBorders>
              <w:top w:val="nil"/>
              <w:left w:val="nil"/>
              <w:bottom w:val="single" w:sz="4" w:space="0" w:color="auto"/>
              <w:right w:val="single" w:sz="4" w:space="0" w:color="auto"/>
            </w:tcBorders>
            <w:shd w:val="clear" w:color="auto" w:fill="auto"/>
            <w:noWrap/>
            <w:vAlign w:val="bottom"/>
            <w:hideMark/>
          </w:tcPr>
          <w:p w14:paraId="59DED39A" w14:textId="77777777" w:rsidR="003C2682" w:rsidRPr="003C2682" w:rsidRDefault="003C2682" w:rsidP="003C2682">
            <w:pPr>
              <w:jc w:val="center"/>
              <w:rPr>
                <w:rFonts w:ascii="Calibri" w:hAnsi="Calibri" w:cs="Calibri"/>
                <w:color w:val="000000"/>
                <w:sz w:val="22"/>
                <w:szCs w:val="22"/>
              </w:rPr>
            </w:pPr>
            <w:r w:rsidRPr="003C2682">
              <w:rPr>
                <w:rFonts w:ascii="Calibri" w:hAnsi="Calibri" w:cs="Calibri"/>
                <w:color w:val="000000"/>
                <w:sz w:val="22"/>
                <w:szCs w:val="22"/>
              </w:rPr>
              <w:t>32</w:t>
            </w:r>
          </w:p>
        </w:tc>
        <w:tc>
          <w:tcPr>
            <w:tcW w:w="960" w:type="dxa"/>
            <w:vMerge/>
            <w:tcBorders>
              <w:top w:val="nil"/>
              <w:left w:val="single" w:sz="4" w:space="0" w:color="auto"/>
              <w:bottom w:val="single" w:sz="4" w:space="0" w:color="auto"/>
              <w:right w:val="single" w:sz="4" w:space="0" w:color="auto"/>
            </w:tcBorders>
            <w:vAlign w:val="center"/>
            <w:hideMark/>
          </w:tcPr>
          <w:p w14:paraId="5468A472" w14:textId="77777777" w:rsidR="003C2682" w:rsidRPr="003C2682" w:rsidRDefault="003C2682" w:rsidP="003C2682">
            <w:pPr>
              <w:rPr>
                <w:rFonts w:ascii="Calibri" w:hAnsi="Calibri" w:cs="Calibri"/>
                <w:b/>
                <w:bCs/>
                <w:color w:val="000000"/>
                <w:sz w:val="22"/>
                <w:szCs w:val="22"/>
              </w:rPr>
            </w:pPr>
          </w:p>
        </w:tc>
      </w:tr>
    </w:tbl>
    <w:p w14:paraId="2DA169D5" w14:textId="77777777" w:rsidR="003C2682" w:rsidRDefault="003C2682" w:rsidP="003C2682">
      <w:pPr>
        <w:jc w:val="both"/>
        <w:rPr>
          <w:rFonts w:eastAsiaTheme="minorHAnsi"/>
          <w:szCs w:val="24"/>
        </w:rPr>
      </w:pPr>
    </w:p>
    <w:p w14:paraId="0C4B855F" w14:textId="77777777" w:rsidR="003C2682" w:rsidRPr="003C2682" w:rsidRDefault="003C2682" w:rsidP="003C2682">
      <w:pPr>
        <w:pStyle w:val="Paragraph"/>
        <w:rPr>
          <w:rFonts w:eastAsiaTheme="minorHAnsi"/>
        </w:rPr>
      </w:pPr>
    </w:p>
    <w:p w14:paraId="4EC65ADD" w14:textId="5AACAE22" w:rsidR="003C2682" w:rsidRDefault="003C2682" w:rsidP="003C2682">
      <w:pPr>
        <w:jc w:val="both"/>
        <w:rPr>
          <w:rFonts w:eastAsiaTheme="minorHAnsi"/>
          <w:szCs w:val="24"/>
        </w:rPr>
      </w:pPr>
      <w:r>
        <w:rPr>
          <w:rFonts w:eastAsiaTheme="minorHAnsi"/>
          <w:szCs w:val="24"/>
        </w:rPr>
        <w:t>Data collection for baseline is completed in 7 days while the field trial itself completed in 13 days. From the data above, we can analyze that based on the field trial success criteria (</w:t>
      </w:r>
      <w:r w:rsidRPr="003754A7">
        <w:rPr>
          <w:rFonts w:eastAsiaTheme="minorHAnsi"/>
          <w:szCs w:val="24"/>
        </w:rPr>
        <w:t>The increase of flowrate, decrease of pressure drop, and increase of C coefficient</w:t>
      </w:r>
      <w:r>
        <w:rPr>
          <w:rFonts w:eastAsiaTheme="minorHAnsi"/>
          <w:szCs w:val="24"/>
        </w:rPr>
        <w:t>) the field trial is showing good trend at cleaning the Schmoo solid inside the pipeline.</w:t>
      </w:r>
    </w:p>
    <w:p w14:paraId="2DA12FC3" w14:textId="5B37F109" w:rsidR="001A08D1" w:rsidRDefault="001A08D1" w:rsidP="003C2682">
      <w:pPr>
        <w:jc w:val="both"/>
        <w:rPr>
          <w:rFonts w:eastAsiaTheme="minorHAnsi"/>
          <w:szCs w:val="24"/>
        </w:rPr>
      </w:pPr>
    </w:p>
    <w:p w14:paraId="0C26CDF9" w14:textId="77777777" w:rsidR="001A08D1" w:rsidRDefault="001A08D1" w:rsidP="003C2682">
      <w:pPr>
        <w:jc w:val="both"/>
        <w:rPr>
          <w:rFonts w:eastAsiaTheme="minorHAnsi"/>
          <w:szCs w:val="24"/>
        </w:rPr>
      </w:pPr>
    </w:p>
    <w:p w14:paraId="188C7985" w14:textId="77777777" w:rsidR="005C7E3C" w:rsidRDefault="00EB1E42" w:rsidP="003C2682">
      <w:pPr>
        <w:jc w:val="both"/>
        <w:rPr>
          <w:rFonts w:eastAsiaTheme="minorHAnsi"/>
          <w:noProof/>
          <w:szCs w:val="24"/>
        </w:rPr>
      </w:pPr>
      <w:r w:rsidRPr="00EB1E42">
        <w:rPr>
          <w:rFonts w:eastAsiaTheme="minorHAnsi"/>
          <w:noProof/>
          <w:szCs w:val="24"/>
        </w:rPr>
        <w:lastRenderedPageBreak/>
        <mc:AlternateContent>
          <mc:Choice Requires="wps">
            <w:drawing>
              <wp:anchor distT="45720" distB="45720" distL="114300" distR="114300" simplePos="0" relativeHeight="251652096" behindDoc="0" locked="0" layoutInCell="1" allowOverlap="1" wp14:anchorId="2265C375" wp14:editId="6AD2CFB7">
                <wp:simplePos x="0" y="0"/>
                <wp:positionH relativeFrom="column">
                  <wp:posOffset>3810000</wp:posOffset>
                </wp:positionH>
                <wp:positionV relativeFrom="paragraph">
                  <wp:posOffset>323850</wp:posOffset>
                </wp:positionV>
                <wp:extent cx="2066925" cy="140462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1404620"/>
                        </a:xfrm>
                        <a:prstGeom prst="rect">
                          <a:avLst/>
                        </a:prstGeom>
                        <a:solidFill>
                          <a:srgbClr val="FFFFFF"/>
                        </a:solidFill>
                        <a:ln w="9525">
                          <a:noFill/>
                          <a:miter lim="800000"/>
                          <a:headEnd/>
                          <a:tailEnd/>
                        </a:ln>
                      </wps:spPr>
                      <wps:txbx>
                        <w:txbxContent>
                          <w:p w14:paraId="6FA99825" w14:textId="2A744039" w:rsidR="00EB1E42" w:rsidRDefault="00EB1E42" w:rsidP="00EB1E42">
                            <w:pPr>
                              <w:jc w:val="both"/>
                              <w:rPr>
                                <w:rFonts w:eastAsiaTheme="minorHAnsi"/>
                                <w:szCs w:val="24"/>
                              </w:rPr>
                            </w:pPr>
                            <w:r>
                              <w:rPr>
                                <w:rFonts w:eastAsiaTheme="minorHAnsi"/>
                                <w:szCs w:val="24"/>
                              </w:rPr>
                              <w:t>The average of flowrate from 7061 BWPD increase to 7948 BWPD at the end of field trial.</w:t>
                            </w:r>
                          </w:p>
                          <w:p w14:paraId="6203CA14" w14:textId="07177871" w:rsidR="00EB1E42" w:rsidRDefault="00EB1E4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265C375" id="_x0000_t202" coordsize="21600,21600" o:spt="202" path="m,l,21600r21600,l21600,xe">
                <v:stroke joinstyle="miter"/>
                <v:path gradientshapeok="t" o:connecttype="rect"/>
              </v:shapetype>
              <v:shape id="Text Box 2" o:spid="_x0000_s1026" type="#_x0000_t202" style="position:absolute;left:0;text-align:left;margin-left:300pt;margin-top:25.5pt;width:162.75pt;height:110.6pt;z-index:2516520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" stroked="f">
                <v:textbox style="mso-fit-shape-to-text:t">
                  <w:txbxContent>
                    <w:p w14:paraId="6FA99825" w14:textId="2A744039" w:rsidR="00EB1E42" w:rsidRDefault="00EB1E42" w:rsidP="00EB1E42">
                      <w:pPr>
                        <w:jc w:val="both"/>
                        <w:rPr>
                          <w:rFonts w:eastAsiaTheme="minorHAnsi"/>
                          <w:szCs w:val="24"/>
                        </w:rPr>
                      </w:pPr>
                      <w:r>
                        <w:rPr>
                          <w:rFonts w:eastAsiaTheme="minorHAnsi"/>
                          <w:szCs w:val="24"/>
                        </w:rPr>
                        <w:t>The average of flowrate from 7061 BWPD increase to 7948 BWPD at the end of field trial.</w:t>
                      </w:r>
                    </w:p>
                    <w:p w14:paraId="6203CA14" w14:textId="07177871" w:rsidR="00EB1E42" w:rsidRDefault="00EB1E42"/>
                  </w:txbxContent>
                </v:textbox>
                <w10:wrap type="square"/>
              </v:shape>
            </w:pict>
          </mc:Fallback>
        </mc:AlternateContent>
      </w:r>
      <w:r w:rsidR="003C2682">
        <w:rPr>
          <w:rFonts w:eastAsiaTheme="minorHAnsi"/>
          <w:noProof/>
          <w:szCs w:val="24"/>
        </w:rPr>
        <w:drawing>
          <wp:inline distT="0" distB="0" distL="0" distR="0" wp14:anchorId="5BFA7D43" wp14:editId="663B54A3">
            <wp:extent cx="3532505" cy="1485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62926" cy="1540760"/>
                    </a:xfrm>
                    <a:prstGeom prst="rect">
                      <a:avLst/>
                    </a:prstGeom>
                    <a:noFill/>
                  </pic:spPr>
                </pic:pic>
              </a:graphicData>
            </a:graphic>
          </wp:inline>
        </w:drawing>
      </w:r>
      <w:r w:rsidRPr="00EB1E42">
        <w:rPr>
          <w:rFonts w:eastAsiaTheme="minorHAnsi"/>
          <w:noProof/>
          <w:szCs w:val="24"/>
        </w:rPr>
        <w:t xml:space="preserve"> </w:t>
      </w:r>
      <w:r w:rsidR="003F5EE8">
        <w:rPr>
          <w:rFonts w:eastAsiaTheme="minorHAnsi"/>
          <w:noProof/>
          <w:szCs w:val="24"/>
        </w:rPr>
        <w:t xml:space="preserve">                        </w:t>
      </w:r>
    </w:p>
    <w:p w14:paraId="133EB89F" w14:textId="64057C69" w:rsidR="001A08D1" w:rsidRDefault="003F5EE8" w:rsidP="003C2682">
      <w:pPr>
        <w:jc w:val="both"/>
        <w:rPr>
          <w:rFonts w:eastAsiaTheme="minorHAnsi"/>
          <w:szCs w:val="24"/>
        </w:rPr>
      </w:pPr>
      <w:r>
        <w:rPr>
          <w:rFonts w:eastAsiaTheme="minorHAnsi"/>
          <w:noProof/>
          <w:szCs w:val="24"/>
        </w:rPr>
        <w:t xml:space="preserve"> </w:t>
      </w:r>
      <w:r w:rsidR="001A08D1">
        <w:rPr>
          <w:rFonts w:eastAsiaTheme="minorHAnsi"/>
          <w:noProof/>
          <w:szCs w:val="24"/>
        </w:rPr>
        <w:t xml:space="preserve">                        </w:t>
      </w:r>
      <w:r>
        <w:rPr>
          <w:rFonts w:eastAsiaTheme="minorHAnsi"/>
          <w:noProof/>
          <w:szCs w:val="24"/>
        </w:rPr>
        <w:t xml:space="preserve">Figure 6. </w:t>
      </w:r>
      <w:r w:rsidR="00EB1E42">
        <w:rPr>
          <w:rFonts w:eastAsiaTheme="minorHAnsi"/>
          <w:noProof/>
          <w:szCs w:val="24"/>
        </w:rPr>
        <w:t xml:space="preserve"> </w:t>
      </w:r>
      <w:r w:rsidR="00EB1E42">
        <w:rPr>
          <w:rFonts w:eastAsiaTheme="minorHAnsi"/>
          <w:szCs w:val="24"/>
        </w:rPr>
        <w:t xml:space="preserve">Flowrate Graph   </w:t>
      </w:r>
    </w:p>
    <w:p w14:paraId="16BA8A7B" w14:textId="77777777" w:rsidR="001A08D1" w:rsidRDefault="001A08D1" w:rsidP="003C2682">
      <w:pPr>
        <w:jc w:val="both"/>
        <w:rPr>
          <w:rFonts w:eastAsiaTheme="minorHAnsi"/>
          <w:szCs w:val="24"/>
        </w:rPr>
      </w:pPr>
    </w:p>
    <w:p w14:paraId="2E494F1A" w14:textId="77777777" w:rsidR="001A08D1" w:rsidRDefault="00EB1E42" w:rsidP="001A08D1">
      <w:pPr>
        <w:jc w:val="both"/>
        <w:rPr>
          <w:rFonts w:eastAsiaTheme="minorHAnsi"/>
          <w:noProof/>
          <w:szCs w:val="24"/>
        </w:rPr>
      </w:pPr>
      <w:r>
        <w:rPr>
          <w:rFonts w:eastAsiaTheme="minorHAnsi"/>
          <w:noProof/>
          <w:szCs w:val="24"/>
        </w:rPr>
        <w:t xml:space="preserve">  </w:t>
      </w:r>
    </w:p>
    <w:p w14:paraId="50139E1C" w14:textId="77777777" w:rsidR="001A08D1" w:rsidRDefault="001A08D1" w:rsidP="001A08D1">
      <w:pPr>
        <w:jc w:val="both"/>
        <w:rPr>
          <w:rFonts w:eastAsiaTheme="minorHAnsi"/>
          <w:noProof/>
          <w:szCs w:val="24"/>
        </w:rPr>
      </w:pPr>
    </w:p>
    <w:p w14:paraId="33A5183F" w14:textId="1696E084" w:rsidR="003C2682" w:rsidRDefault="00026DAA" w:rsidP="001A08D1">
      <w:pPr>
        <w:ind w:left="851" w:hanging="851"/>
        <w:jc w:val="both"/>
        <w:rPr>
          <w:rFonts w:eastAsiaTheme="minorHAnsi"/>
          <w:noProof/>
          <w:szCs w:val="24"/>
        </w:rPr>
      </w:pPr>
      <w:r w:rsidRPr="00EB1E42">
        <w:rPr>
          <w:rFonts w:eastAsiaTheme="minorHAnsi"/>
          <w:noProof/>
          <w:szCs w:val="24"/>
        </w:rPr>
        <mc:AlternateContent>
          <mc:Choice Requires="wps">
            <w:drawing>
              <wp:anchor distT="45720" distB="45720" distL="114300" distR="114300" simplePos="0" relativeHeight="251660288" behindDoc="0" locked="0" layoutInCell="1" allowOverlap="1" wp14:anchorId="7609778D" wp14:editId="37C22ED4">
                <wp:simplePos x="0" y="0"/>
                <wp:positionH relativeFrom="column">
                  <wp:posOffset>3752850</wp:posOffset>
                </wp:positionH>
                <wp:positionV relativeFrom="paragraph">
                  <wp:posOffset>432435</wp:posOffset>
                </wp:positionV>
                <wp:extent cx="217170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4620"/>
                        </a:xfrm>
                        <a:prstGeom prst="rect">
                          <a:avLst/>
                        </a:prstGeom>
                        <a:solidFill>
                          <a:srgbClr val="FFFFFF"/>
                        </a:solidFill>
                        <a:ln w="9525">
                          <a:noFill/>
                          <a:miter lim="800000"/>
                          <a:headEnd/>
                          <a:tailEnd/>
                        </a:ln>
                      </wps:spPr>
                      <wps:txbx>
                        <w:txbxContent>
                          <w:p w14:paraId="1A2A3F9B" w14:textId="77777777" w:rsidR="00026DAA" w:rsidRDefault="00026DAA" w:rsidP="00026DAA">
                            <w:pPr>
                              <w:jc w:val="both"/>
                              <w:rPr>
                                <w:rFonts w:eastAsiaTheme="minorHAnsi"/>
                                <w:szCs w:val="24"/>
                              </w:rPr>
                            </w:pPr>
                            <w:r w:rsidRPr="003C2682">
                              <w:rPr>
                                <w:rFonts w:eastAsiaTheme="minorHAnsi"/>
                                <w:szCs w:val="24"/>
                              </w:rPr>
                              <w:t>The average of pressure drop from 699 Psig decrease to 606 Psig at the end of field trial.</w:t>
                            </w:r>
                          </w:p>
                          <w:p w14:paraId="5E8A5A8C" w14:textId="77777777" w:rsidR="00026DAA" w:rsidRDefault="00026DAA" w:rsidP="00026DA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09778D" id="_x0000_s1027" type="#_x0000_t202" style="position:absolute;left:0;text-align:left;margin-left:295.5pt;margin-top:34.05pt;width:171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" stroked="f">
                <v:textbox style="mso-fit-shape-to-text:t">
                  <w:txbxContent>
                    <w:p w14:paraId="1A2A3F9B" w14:textId="77777777" w:rsidR="00026DAA" w:rsidRDefault="00026DAA" w:rsidP="00026DAA">
                      <w:pPr>
                        <w:jc w:val="both"/>
                        <w:rPr>
                          <w:rFonts w:eastAsiaTheme="minorHAnsi"/>
                          <w:szCs w:val="24"/>
                        </w:rPr>
                      </w:pPr>
                      <w:r w:rsidRPr="003C2682">
                        <w:rPr>
                          <w:rFonts w:eastAsiaTheme="minorHAnsi"/>
                          <w:szCs w:val="24"/>
                        </w:rPr>
                        <w:t>The average of pressure drop from 699 Psig decrease to 606 Psig at the end of field trial.</w:t>
                      </w:r>
                    </w:p>
                    <w:p w14:paraId="5E8A5A8C" w14:textId="77777777" w:rsidR="00026DAA" w:rsidRDefault="00026DAA" w:rsidP="00026DAA"/>
                  </w:txbxContent>
                </v:textbox>
                <w10:wrap type="square"/>
              </v:shape>
            </w:pict>
          </mc:Fallback>
        </mc:AlternateContent>
      </w:r>
      <w:r w:rsidR="00EB1E42">
        <w:rPr>
          <w:rFonts w:eastAsiaTheme="minorHAnsi"/>
          <w:noProof/>
          <w:szCs w:val="24"/>
        </w:rPr>
        <w:t xml:space="preserve"> </w:t>
      </w:r>
      <w:r w:rsidR="00EB1E42">
        <w:rPr>
          <w:rFonts w:eastAsiaTheme="minorHAnsi"/>
          <w:noProof/>
          <w:szCs w:val="24"/>
        </w:rPr>
        <w:drawing>
          <wp:inline distT="0" distB="0" distL="0" distR="0" wp14:anchorId="2261814F" wp14:editId="0FA1C836">
            <wp:extent cx="3494405" cy="1631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0766" cy="1700303"/>
                    </a:xfrm>
                    <a:prstGeom prst="rect">
                      <a:avLst/>
                    </a:prstGeom>
                    <a:noFill/>
                  </pic:spPr>
                </pic:pic>
              </a:graphicData>
            </a:graphic>
          </wp:inline>
        </w:drawing>
      </w:r>
      <w:r w:rsidR="003F5EE8">
        <w:rPr>
          <w:rFonts w:eastAsiaTheme="minorHAnsi"/>
          <w:noProof/>
          <w:szCs w:val="24"/>
        </w:rPr>
        <w:t xml:space="preserve">                 </w:t>
      </w:r>
      <w:r w:rsidR="001A08D1">
        <w:rPr>
          <w:rFonts w:eastAsiaTheme="minorHAnsi"/>
          <w:noProof/>
          <w:szCs w:val="24"/>
        </w:rPr>
        <w:t xml:space="preserve">     </w:t>
      </w:r>
      <w:r w:rsidR="003F5EE8">
        <w:rPr>
          <w:rFonts w:eastAsiaTheme="minorHAnsi"/>
          <w:noProof/>
          <w:szCs w:val="24"/>
        </w:rPr>
        <w:t xml:space="preserve">Figure 7. </w:t>
      </w:r>
      <w:r w:rsidR="001A08D1">
        <w:rPr>
          <w:rFonts w:eastAsiaTheme="minorHAnsi"/>
          <w:noProof/>
          <w:szCs w:val="24"/>
        </w:rPr>
        <w:t xml:space="preserve">  </w:t>
      </w:r>
      <w:r w:rsidR="00EB1E42">
        <w:rPr>
          <w:rFonts w:eastAsiaTheme="minorHAnsi"/>
          <w:szCs w:val="24"/>
        </w:rPr>
        <w:t>Pipeline Pressure Drop Graph</w:t>
      </w:r>
    </w:p>
    <w:p w14:paraId="15201314" w14:textId="04CB6DD0" w:rsidR="003C2682" w:rsidRDefault="001A08D1" w:rsidP="003C2682">
      <w:pPr>
        <w:jc w:val="both"/>
        <w:rPr>
          <w:rFonts w:eastAsiaTheme="minorHAnsi"/>
          <w:szCs w:val="24"/>
        </w:rPr>
      </w:pPr>
      <w:r>
        <w:rPr>
          <w:rFonts w:eastAsiaTheme="minorHAnsi"/>
          <w:szCs w:val="24"/>
        </w:rPr>
        <w:t xml:space="preserve"> </w:t>
      </w:r>
    </w:p>
    <w:p w14:paraId="7AB15810" w14:textId="34FED75A" w:rsidR="003C2682" w:rsidRPr="003C2682" w:rsidRDefault="00026DAA" w:rsidP="003C2682">
      <w:pPr>
        <w:jc w:val="both"/>
        <w:rPr>
          <w:rFonts w:eastAsiaTheme="minorHAnsi"/>
          <w:szCs w:val="24"/>
        </w:rPr>
      </w:pPr>
      <w:r w:rsidRPr="00EB1E42">
        <w:rPr>
          <w:rFonts w:eastAsiaTheme="minorHAnsi"/>
          <w:noProof/>
          <w:szCs w:val="24"/>
        </w:rPr>
        <mc:AlternateContent>
          <mc:Choice Requires="wps">
            <w:drawing>
              <wp:anchor distT="45720" distB="45720" distL="114300" distR="114300" simplePos="0" relativeHeight="251667456" behindDoc="0" locked="0" layoutInCell="1" allowOverlap="1" wp14:anchorId="38AED61B" wp14:editId="34492979">
                <wp:simplePos x="0" y="0"/>
                <wp:positionH relativeFrom="column">
                  <wp:posOffset>3752850</wp:posOffset>
                </wp:positionH>
                <wp:positionV relativeFrom="paragraph">
                  <wp:posOffset>379095</wp:posOffset>
                </wp:positionV>
                <wp:extent cx="2171700" cy="140462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404620"/>
                        </a:xfrm>
                        <a:prstGeom prst="rect">
                          <a:avLst/>
                        </a:prstGeom>
                        <a:solidFill>
                          <a:srgbClr val="FFFFFF"/>
                        </a:solidFill>
                        <a:ln w="9525">
                          <a:noFill/>
                          <a:miter lim="800000"/>
                          <a:headEnd/>
                          <a:tailEnd/>
                        </a:ln>
                      </wps:spPr>
                      <wps:txbx>
                        <w:txbxContent>
                          <w:p w14:paraId="053D1E6F" w14:textId="77777777" w:rsidR="00026DAA" w:rsidRDefault="00026DAA" w:rsidP="00026DAA">
                            <w:pPr>
                              <w:jc w:val="both"/>
                              <w:rPr>
                                <w:rFonts w:eastAsiaTheme="minorHAnsi"/>
                                <w:szCs w:val="24"/>
                              </w:rPr>
                            </w:pPr>
                            <w:r w:rsidRPr="00E4736B">
                              <w:rPr>
                                <w:rFonts w:eastAsiaTheme="minorHAnsi"/>
                                <w:szCs w:val="24"/>
                              </w:rPr>
                              <w:t>The average of Hazen-Willimas roughness coefficient from 20,58 increase to 27,87 at the end of field trial.</w:t>
                            </w:r>
                          </w:p>
                          <w:p w14:paraId="3C31BD5F" w14:textId="77777777" w:rsidR="00026DAA" w:rsidRDefault="00026DAA" w:rsidP="00026DA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AED61B" id="_x0000_s1028" type="#_x0000_t202" style="position:absolute;left:0;text-align:left;margin-left:295.5pt;margin-top:29.85pt;width:171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" stroked="f">
                <v:textbox style="mso-fit-shape-to-text:t">
                  <w:txbxContent>
                    <w:p w14:paraId="053D1E6F" w14:textId="77777777" w:rsidR="00026DAA" w:rsidRDefault="00026DAA" w:rsidP="00026DAA">
                      <w:pPr>
                        <w:jc w:val="both"/>
                        <w:rPr>
                          <w:rFonts w:eastAsiaTheme="minorHAnsi"/>
                          <w:szCs w:val="24"/>
                        </w:rPr>
                      </w:pPr>
                      <w:r w:rsidRPr="00E4736B">
                        <w:rPr>
                          <w:rFonts w:eastAsiaTheme="minorHAnsi"/>
                          <w:szCs w:val="24"/>
                        </w:rPr>
                        <w:t>The average of Hazen-Willimas roughness coefficient from 20,58 increase to 27,87 at the end of field trial.</w:t>
                      </w:r>
                    </w:p>
                    <w:p w14:paraId="3C31BD5F" w14:textId="77777777" w:rsidR="00026DAA" w:rsidRDefault="00026DAA" w:rsidP="00026DAA"/>
                  </w:txbxContent>
                </v:textbox>
                <w10:wrap type="square"/>
              </v:shape>
            </w:pict>
          </mc:Fallback>
        </mc:AlternateContent>
      </w:r>
      <w:r w:rsidR="003C2682">
        <w:rPr>
          <w:rFonts w:eastAsiaTheme="minorHAnsi"/>
          <w:noProof/>
          <w:szCs w:val="24"/>
        </w:rPr>
        <w:drawing>
          <wp:inline distT="0" distB="0" distL="0" distR="0" wp14:anchorId="40391EC7" wp14:editId="4FCD1086">
            <wp:extent cx="3619500" cy="1638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99362" cy="1674448"/>
                    </a:xfrm>
                    <a:prstGeom prst="rect">
                      <a:avLst/>
                    </a:prstGeom>
                    <a:noFill/>
                  </pic:spPr>
                </pic:pic>
              </a:graphicData>
            </a:graphic>
          </wp:inline>
        </w:drawing>
      </w:r>
    </w:p>
    <w:p w14:paraId="35EC1AC8" w14:textId="71B0BA2F" w:rsidR="003C2682" w:rsidRPr="003754A7" w:rsidRDefault="003F5EE8" w:rsidP="003C2682">
      <w:pPr>
        <w:jc w:val="both"/>
        <w:rPr>
          <w:rFonts w:eastAsiaTheme="minorHAnsi"/>
          <w:szCs w:val="24"/>
        </w:rPr>
      </w:pPr>
      <w:r>
        <w:rPr>
          <w:rFonts w:eastAsiaTheme="minorHAnsi"/>
          <w:szCs w:val="24"/>
        </w:rPr>
        <w:t xml:space="preserve">       Figure 8. </w:t>
      </w:r>
      <w:r w:rsidR="00026DAA">
        <w:rPr>
          <w:rFonts w:eastAsiaTheme="minorHAnsi"/>
          <w:szCs w:val="24"/>
        </w:rPr>
        <w:t>Hazen-Williams Roughness Coeff. Graph</w:t>
      </w:r>
    </w:p>
    <w:p w14:paraId="3A55DED7" w14:textId="0B52BA45" w:rsidR="00E4736B" w:rsidRDefault="00E4736B" w:rsidP="00E4736B">
      <w:pPr>
        <w:jc w:val="both"/>
        <w:rPr>
          <w:rFonts w:eastAsiaTheme="minorHAnsi"/>
          <w:szCs w:val="24"/>
        </w:rPr>
      </w:pPr>
    </w:p>
    <w:p w14:paraId="7FC0AC93" w14:textId="550F3795" w:rsidR="00E4736B" w:rsidRDefault="009854E3" w:rsidP="009854E3">
      <w:pPr>
        <w:pStyle w:val="Heading2"/>
        <w:rPr>
          <w:rFonts w:eastAsiaTheme="minorHAnsi"/>
        </w:rPr>
      </w:pPr>
      <w:r>
        <w:rPr>
          <w:rFonts w:eastAsiaTheme="minorHAnsi"/>
        </w:rPr>
        <w:t>CONCLUSION</w:t>
      </w:r>
    </w:p>
    <w:p w14:paraId="7AD48B0B" w14:textId="4C37C971" w:rsidR="00053DAE" w:rsidRDefault="002D18B1" w:rsidP="00053DAE">
      <w:pPr>
        <w:jc w:val="both"/>
        <w:rPr>
          <w:rFonts w:eastAsiaTheme="minorHAnsi"/>
          <w:szCs w:val="24"/>
        </w:rPr>
      </w:pPr>
      <w:r w:rsidRPr="002D18B1">
        <w:rPr>
          <w:rFonts w:eastAsiaTheme="minorHAnsi"/>
          <w:szCs w:val="24"/>
        </w:rPr>
        <w:t xml:space="preserve">From the </w:t>
      </w:r>
      <w:r>
        <w:rPr>
          <w:rFonts w:eastAsiaTheme="minorHAnsi"/>
          <w:szCs w:val="24"/>
        </w:rPr>
        <w:t>result described above, the field trial success criteria have been achieved with average flowrate from 7061 BWPD increase to 794</w:t>
      </w:r>
      <w:r w:rsidR="00053DAE">
        <w:rPr>
          <w:rFonts w:eastAsiaTheme="minorHAnsi"/>
          <w:szCs w:val="24"/>
        </w:rPr>
        <w:t>8 BWPD (12.6 % increase</w:t>
      </w:r>
      <w:r>
        <w:rPr>
          <w:rFonts w:eastAsiaTheme="minorHAnsi"/>
          <w:szCs w:val="24"/>
        </w:rPr>
        <w:t>)</w:t>
      </w:r>
      <w:r w:rsidR="00053DAE">
        <w:rPr>
          <w:rFonts w:eastAsiaTheme="minorHAnsi"/>
          <w:szCs w:val="24"/>
        </w:rPr>
        <w:t xml:space="preserve">, average </w:t>
      </w:r>
      <w:r w:rsidR="00053DAE" w:rsidRPr="003C2682">
        <w:rPr>
          <w:rFonts w:eastAsiaTheme="minorHAnsi"/>
          <w:szCs w:val="24"/>
        </w:rPr>
        <w:t>pressure drop from 699 Psig decrease to 606</w:t>
      </w:r>
      <w:r w:rsidR="00053DAE">
        <w:rPr>
          <w:rFonts w:eastAsiaTheme="minorHAnsi"/>
          <w:szCs w:val="24"/>
        </w:rPr>
        <w:t xml:space="preserve"> Psig (13.3 % decrease), and t</w:t>
      </w:r>
      <w:r w:rsidR="00053DAE" w:rsidRPr="00E4736B">
        <w:rPr>
          <w:rFonts w:eastAsiaTheme="minorHAnsi"/>
          <w:szCs w:val="24"/>
        </w:rPr>
        <w:t xml:space="preserve">he average of Hazen-Willimas roughness coefficient from 20,58 increase to </w:t>
      </w:r>
      <w:r w:rsidR="00053DAE">
        <w:rPr>
          <w:rFonts w:eastAsiaTheme="minorHAnsi"/>
          <w:szCs w:val="24"/>
        </w:rPr>
        <w:t>27,87 at the end of field trial (35.4 % increase).</w:t>
      </w:r>
      <w:r w:rsidR="00574DC4">
        <w:rPr>
          <w:rFonts w:eastAsiaTheme="minorHAnsi"/>
          <w:szCs w:val="24"/>
        </w:rPr>
        <w:t xml:space="preserve"> The actual chemical dosage is range from 36 – 136 ppmV for cleaning and maintenance process.</w:t>
      </w:r>
    </w:p>
    <w:p w14:paraId="67078C2B" w14:textId="303FF21A" w:rsidR="0014722D" w:rsidRDefault="0014722D" w:rsidP="00994C97">
      <w:pPr>
        <w:pStyle w:val="Paragraph"/>
        <w:ind w:firstLine="0"/>
        <w:rPr>
          <w:rFonts w:eastAsiaTheme="minorHAnsi"/>
        </w:rPr>
      </w:pPr>
    </w:p>
    <w:p w14:paraId="3DA1FC77" w14:textId="75311204" w:rsidR="0014722D" w:rsidRPr="009854E3" w:rsidRDefault="0014722D" w:rsidP="0014722D">
      <w:pPr>
        <w:pStyle w:val="Heading2"/>
        <w:rPr>
          <w:rFonts w:eastAsiaTheme="minorHAnsi"/>
        </w:rPr>
      </w:pPr>
      <w:r>
        <w:rPr>
          <w:rFonts w:eastAsiaTheme="minorHAnsi"/>
        </w:rPr>
        <w:lastRenderedPageBreak/>
        <w:t>RECOMMENDATION</w:t>
      </w:r>
    </w:p>
    <w:p w14:paraId="046B0F17" w14:textId="26AC401E" w:rsidR="00994C97" w:rsidRPr="007E02AC" w:rsidRDefault="00994C97" w:rsidP="00994C97">
      <w:pPr>
        <w:pStyle w:val="IsiHeading1"/>
        <w:rPr>
          <w:sz w:val="24"/>
          <w:szCs w:val="24"/>
        </w:rPr>
      </w:pPr>
      <w:r>
        <w:rPr>
          <w:sz w:val="24"/>
          <w:szCs w:val="24"/>
        </w:rPr>
        <w:t>I</w:t>
      </w:r>
      <w:r w:rsidRPr="007E02AC">
        <w:rPr>
          <w:sz w:val="24"/>
          <w:szCs w:val="24"/>
        </w:rPr>
        <w:t xml:space="preserve">n this field trial, the subject discussed was how the </w:t>
      </w:r>
      <w:r>
        <w:rPr>
          <w:sz w:val="24"/>
          <w:szCs w:val="24"/>
        </w:rPr>
        <w:t>injection of Schmoo Remover</w:t>
      </w:r>
      <w:r w:rsidR="00C120B8">
        <w:rPr>
          <w:sz w:val="24"/>
          <w:szCs w:val="24"/>
        </w:rPr>
        <w:t xml:space="preserve"> Chemical can clean the Schmoo deposit inside the pipe</w:t>
      </w:r>
      <w:r>
        <w:rPr>
          <w:sz w:val="24"/>
          <w:szCs w:val="24"/>
        </w:rPr>
        <w:t>,</w:t>
      </w:r>
      <w:r w:rsidRPr="007E02AC">
        <w:rPr>
          <w:sz w:val="24"/>
          <w:szCs w:val="24"/>
        </w:rPr>
        <w:t xml:space="preserve"> to better understand the influence of </w:t>
      </w:r>
      <w:r w:rsidR="00C120B8">
        <w:rPr>
          <w:sz w:val="24"/>
          <w:szCs w:val="24"/>
        </w:rPr>
        <w:t>corrosion inhibitor to protect the pipe integrity from corrosion</w:t>
      </w:r>
      <w:r w:rsidRPr="007E02AC">
        <w:rPr>
          <w:sz w:val="24"/>
          <w:szCs w:val="24"/>
        </w:rPr>
        <w:t>, more specific and comprehensive research must be carried out.</w:t>
      </w:r>
    </w:p>
    <w:p w14:paraId="1A2EA233" w14:textId="77777777" w:rsidR="00994C97" w:rsidRPr="007E02AC" w:rsidRDefault="00994C97" w:rsidP="00994C97">
      <w:pPr>
        <w:pStyle w:val="IsiHeading1"/>
        <w:rPr>
          <w:sz w:val="24"/>
          <w:szCs w:val="24"/>
        </w:rPr>
      </w:pPr>
    </w:p>
    <w:p w14:paraId="0A1144E3" w14:textId="152E129E" w:rsidR="00994C97" w:rsidRPr="00E23ED5" w:rsidRDefault="00994C97" w:rsidP="00994C97">
      <w:pPr>
        <w:pStyle w:val="IsiHeading1"/>
        <w:rPr>
          <w:sz w:val="24"/>
          <w:szCs w:val="24"/>
        </w:rPr>
      </w:pPr>
      <w:r w:rsidRPr="007E02AC">
        <w:rPr>
          <w:sz w:val="24"/>
          <w:szCs w:val="24"/>
        </w:rPr>
        <w:t xml:space="preserve">However, from the results described in this paper, it can be used as a reference by the </w:t>
      </w:r>
      <w:r w:rsidR="00352272">
        <w:rPr>
          <w:sz w:val="24"/>
          <w:szCs w:val="24"/>
        </w:rPr>
        <w:t xml:space="preserve">oil and </w:t>
      </w:r>
      <w:r>
        <w:rPr>
          <w:sz w:val="24"/>
          <w:szCs w:val="24"/>
        </w:rPr>
        <w:t xml:space="preserve">gas </w:t>
      </w:r>
      <w:r w:rsidRPr="007E02AC">
        <w:rPr>
          <w:sz w:val="24"/>
          <w:szCs w:val="24"/>
        </w:rPr>
        <w:t xml:space="preserve">operator as an alternative way to </w:t>
      </w:r>
      <w:r w:rsidR="00C120B8">
        <w:rPr>
          <w:sz w:val="24"/>
          <w:szCs w:val="24"/>
        </w:rPr>
        <w:t>clean the water injection pipeline from Schmoo deposit inside the pipe due to unpiggalbe pipe condisition such as in the absence of pipe launcher/receiver, not suitable pipe geometry and others factor.</w:t>
      </w:r>
    </w:p>
    <w:p w14:paraId="77D7AA88" w14:textId="77777777" w:rsidR="00DC4898" w:rsidRPr="003C2682" w:rsidRDefault="00DC4898" w:rsidP="003C2682">
      <w:pPr>
        <w:jc w:val="both"/>
        <w:rPr>
          <w:rFonts w:eastAsiaTheme="minorHAnsi"/>
          <w:szCs w:val="24"/>
        </w:rPr>
      </w:pPr>
    </w:p>
    <w:p w14:paraId="0B3CC124" w14:textId="21241BEF" w:rsidR="0016385D" w:rsidRPr="00075EA6" w:rsidRDefault="0016385D">
      <w:pPr>
        <w:pStyle w:val="Heading1"/>
        <w:rPr>
          <w:rFonts w:asciiTheme="majorBidi" w:hAnsiTheme="majorBidi" w:cstheme="majorBidi"/>
        </w:rPr>
      </w:pPr>
      <w:r w:rsidRPr="00075EA6">
        <w:rPr>
          <w:rFonts w:asciiTheme="majorBidi" w:hAnsiTheme="majorBidi" w:cstheme="majorBidi"/>
        </w:rPr>
        <w:t>Acknowledgments</w:t>
      </w:r>
    </w:p>
    <w:p w14:paraId="5C6B4476" w14:textId="716393CD" w:rsidR="001B1B3F" w:rsidRDefault="001B1B3F" w:rsidP="001B1B3F">
      <w:pPr>
        <w:pStyle w:val="IsiHeading1"/>
        <w:rPr>
          <w:sz w:val="24"/>
          <w:szCs w:val="24"/>
        </w:rPr>
      </w:pPr>
      <w:r w:rsidRPr="00E150E3">
        <w:rPr>
          <w:sz w:val="24"/>
          <w:szCs w:val="24"/>
        </w:rPr>
        <w:t xml:space="preserve">We thank our colleagues from </w:t>
      </w:r>
      <w:r>
        <w:rPr>
          <w:sz w:val="24"/>
          <w:szCs w:val="24"/>
        </w:rPr>
        <w:t>field production department, technical services department, maintenance department, Chemical Services Company, and all the plant operators</w:t>
      </w:r>
      <w:r w:rsidRPr="00E150E3">
        <w:rPr>
          <w:sz w:val="24"/>
          <w:szCs w:val="24"/>
        </w:rPr>
        <w:t xml:space="preserve"> who provide</w:t>
      </w:r>
      <w:r>
        <w:rPr>
          <w:sz w:val="24"/>
          <w:szCs w:val="24"/>
        </w:rPr>
        <w:t xml:space="preserve"> assistance and services in this field trial.</w:t>
      </w:r>
    </w:p>
    <w:p w14:paraId="142A077A" w14:textId="77777777" w:rsidR="00D42191" w:rsidRPr="00001207" w:rsidRDefault="00D42191" w:rsidP="001B1B3F">
      <w:pPr>
        <w:pStyle w:val="IsiHeading1"/>
        <w:rPr>
          <w:sz w:val="24"/>
          <w:szCs w:val="24"/>
        </w:rPr>
      </w:pPr>
    </w:p>
    <w:p w14:paraId="0B3CC127" w14:textId="53B106E9" w:rsidR="0016385D" w:rsidRPr="00075EA6" w:rsidRDefault="0016385D">
      <w:pPr>
        <w:pStyle w:val="Heading1"/>
        <w:rPr>
          <w:rFonts w:asciiTheme="majorBidi" w:hAnsiTheme="majorBidi" w:cstheme="majorBidi"/>
        </w:rPr>
      </w:pPr>
      <w:r w:rsidRPr="00075EA6">
        <w:rPr>
          <w:rFonts w:asciiTheme="majorBidi" w:hAnsiTheme="majorBidi" w:cstheme="majorBidi"/>
        </w:rPr>
        <w:t>References</w:t>
      </w:r>
    </w:p>
    <w:p w14:paraId="0B3CC12B" w14:textId="3B2D63C6" w:rsidR="003A61B1" w:rsidRPr="007B37EC" w:rsidRDefault="00E36030" w:rsidP="00E36030">
      <w:pPr>
        <w:pStyle w:val="Reference"/>
        <w:rPr>
          <w:sz w:val="24"/>
          <w:szCs w:val="24"/>
        </w:rPr>
      </w:pPr>
      <w:r w:rsidRPr="007B37EC">
        <w:rPr>
          <w:sz w:val="24"/>
          <w:szCs w:val="24"/>
        </w:rPr>
        <w:t>David I. Horsup, Timothy S. Dunstan, John H. Clint</w:t>
      </w:r>
      <w:r w:rsidR="003A61B1" w:rsidRPr="007B37EC">
        <w:rPr>
          <w:sz w:val="24"/>
          <w:szCs w:val="24"/>
        </w:rPr>
        <w:t>, “</w:t>
      </w:r>
      <w:r w:rsidRPr="007B37EC">
        <w:rPr>
          <w:sz w:val="24"/>
          <w:szCs w:val="24"/>
        </w:rPr>
        <w:t>A Break-Through Corrosion Inhibitor Technology For Heavily Fouled Systems</w:t>
      </w:r>
      <w:r w:rsidR="00D5238B" w:rsidRPr="007B37EC">
        <w:rPr>
          <w:i/>
          <w:sz w:val="24"/>
          <w:szCs w:val="24"/>
        </w:rPr>
        <w:t>”</w:t>
      </w:r>
      <w:r w:rsidRPr="007B37EC">
        <w:rPr>
          <w:sz w:val="24"/>
          <w:szCs w:val="24"/>
        </w:rPr>
        <w:t>, NACE Paper No. 07690</w:t>
      </w:r>
      <w:r w:rsidR="003A61B1" w:rsidRPr="007B37EC">
        <w:rPr>
          <w:sz w:val="24"/>
          <w:szCs w:val="24"/>
        </w:rPr>
        <w:t xml:space="preserve">, </w:t>
      </w:r>
      <w:r w:rsidRPr="007B37EC">
        <w:rPr>
          <w:sz w:val="24"/>
          <w:szCs w:val="24"/>
        </w:rPr>
        <w:t>Presented at NACE International Corrosion &amp; Conference Expo, Houston, Texas, 2007.</w:t>
      </w:r>
    </w:p>
    <w:p w14:paraId="730388E5" w14:textId="72819683" w:rsidR="00E36030" w:rsidRPr="007B37EC" w:rsidRDefault="00D5238B" w:rsidP="007A69AB">
      <w:pPr>
        <w:pStyle w:val="Reference"/>
        <w:rPr>
          <w:sz w:val="24"/>
          <w:szCs w:val="24"/>
        </w:rPr>
      </w:pPr>
      <w:r w:rsidRPr="007B37EC">
        <w:rPr>
          <w:sz w:val="24"/>
          <w:szCs w:val="24"/>
        </w:rPr>
        <w:t>David I. Horsup, Richard Meyer, Laxmikant Tiwari, “Integrity Control In Heavily Fouled Systems – Phase II Environmentally Sustainable Solutions”, NACE Paper No. 08623, Presented at NACE International Corrosion &amp; Conference Expo, Houston, Texas, 2008</w:t>
      </w:r>
      <w:r w:rsidR="007A69AB" w:rsidRPr="007B37EC">
        <w:rPr>
          <w:sz w:val="24"/>
          <w:szCs w:val="24"/>
        </w:rPr>
        <w:t>.</w:t>
      </w:r>
    </w:p>
    <w:p w14:paraId="707819B8" w14:textId="31C7BA9C" w:rsidR="007A69AB" w:rsidRPr="007B37EC" w:rsidRDefault="007A69AB" w:rsidP="00B01FB3">
      <w:pPr>
        <w:pStyle w:val="Reference"/>
        <w:rPr>
          <w:sz w:val="24"/>
          <w:szCs w:val="24"/>
        </w:rPr>
      </w:pPr>
      <w:r w:rsidRPr="007B37EC">
        <w:rPr>
          <w:sz w:val="24"/>
          <w:szCs w:val="24"/>
        </w:rPr>
        <w:t>David I. Horsup, “A Breakthrough Technology For Maximizing Water Injectivity And Asset Integrity”, SPE Paper No. 108675, Prepared for presentation at the 2007 SPE Annual Technical Conference And Exhibition , Anaheim, California, U.S.A.,11-14 November 2007.</w:t>
      </w:r>
    </w:p>
    <w:p w14:paraId="0B3CC12C" w14:textId="7099154B" w:rsidR="003A61B1" w:rsidRPr="007B37EC" w:rsidRDefault="000F7DCD" w:rsidP="000F7DCD">
      <w:pPr>
        <w:pStyle w:val="Reference"/>
        <w:rPr>
          <w:sz w:val="24"/>
          <w:szCs w:val="24"/>
        </w:rPr>
      </w:pPr>
      <w:r w:rsidRPr="007B37EC">
        <w:rPr>
          <w:sz w:val="24"/>
          <w:szCs w:val="24"/>
        </w:rPr>
        <w:t>Albert F. Chan, Plano, William Mark Bohon, David J. Blumer, Kieu T. Ly, U.S. Patent No. 5,996,692 (7 December 1999</w:t>
      </w:r>
      <w:r w:rsidR="003A61B1" w:rsidRPr="007B37EC">
        <w:rPr>
          <w:sz w:val="24"/>
          <w:szCs w:val="24"/>
        </w:rPr>
        <w:t>)</w:t>
      </w:r>
      <w:r w:rsidR="00B01FB3" w:rsidRPr="007B37EC">
        <w:rPr>
          <w:sz w:val="24"/>
          <w:szCs w:val="24"/>
        </w:rPr>
        <w:t>.</w:t>
      </w:r>
    </w:p>
    <w:p w14:paraId="34306394" w14:textId="7850310C" w:rsidR="00B01FB3" w:rsidRPr="007B37EC" w:rsidRDefault="00B01FB3" w:rsidP="00B01FB3">
      <w:pPr>
        <w:pStyle w:val="Reference"/>
        <w:rPr>
          <w:sz w:val="24"/>
          <w:szCs w:val="24"/>
        </w:rPr>
      </w:pPr>
      <w:r w:rsidRPr="007B37EC">
        <w:rPr>
          <w:sz w:val="24"/>
          <w:szCs w:val="24"/>
        </w:rPr>
        <w:t>Brian Michael Bennett, Sebastian Dennis Mancuso, U.S. Patent Application Publication No. US 2015/0011453 A1 (8 January 2015).</w:t>
      </w:r>
    </w:p>
    <w:p w14:paraId="3F641126" w14:textId="3987A4E3" w:rsidR="007B37EC" w:rsidRDefault="007B37EC" w:rsidP="007B37EC">
      <w:pPr>
        <w:pStyle w:val="Reference"/>
        <w:rPr>
          <w:sz w:val="24"/>
          <w:szCs w:val="24"/>
        </w:rPr>
      </w:pPr>
      <w:r w:rsidRPr="007B37EC">
        <w:rPr>
          <w:sz w:val="24"/>
          <w:szCs w:val="24"/>
        </w:rPr>
        <w:t>Nalco Champion, “Clean And Corr Technology For Water Injection”, Technical Proposal For JOB Pertamina-Talisman Ogan Komering (OK), Jakarta, Indonesia, 26 April 2017.</w:t>
      </w:r>
    </w:p>
    <w:p w14:paraId="23CD7CF2" w14:textId="7833813D" w:rsidR="00950078" w:rsidRPr="00950078" w:rsidRDefault="00950078" w:rsidP="007B37EC">
      <w:pPr>
        <w:pStyle w:val="Reference"/>
        <w:rPr>
          <w:sz w:val="24"/>
          <w:szCs w:val="24"/>
        </w:rPr>
      </w:pPr>
      <w:r w:rsidRPr="00950078">
        <w:rPr>
          <w:sz w:val="24"/>
          <w:szCs w:val="24"/>
        </w:rPr>
        <w:t xml:space="preserve">Wikipedia website, </w:t>
      </w:r>
      <w:hyperlink r:id="rId17" w:history="1">
        <w:r w:rsidRPr="00546710">
          <w:rPr>
            <w:rStyle w:val="Hyperlink"/>
            <w:sz w:val="24"/>
            <w:szCs w:val="24"/>
          </w:rPr>
          <w:t>https://en.wikipedia.org/wiki/Hazen-Williams_equation</w:t>
        </w:r>
      </w:hyperlink>
      <w:r w:rsidRPr="00950078">
        <w:rPr>
          <w:sz w:val="24"/>
          <w:szCs w:val="24"/>
        </w:rPr>
        <w:t>, accessed at 10 June 2019.</w:t>
      </w:r>
    </w:p>
    <w:p w14:paraId="0B3CC12E" w14:textId="2CD72AF5" w:rsidR="00114AB1" w:rsidRPr="007B37EC" w:rsidRDefault="00114AB1" w:rsidP="007B37EC">
      <w:pPr>
        <w:pStyle w:val="Reference"/>
        <w:numPr>
          <w:ilvl w:val="0"/>
          <w:numId w:val="0"/>
        </w:numPr>
        <w:ind w:left="426"/>
        <w:rPr>
          <w:sz w:val="24"/>
          <w:szCs w:val="24"/>
        </w:rPr>
      </w:pPr>
    </w:p>
    <w:sectPr w:rsidR="00114AB1" w:rsidRPr="007B37EC" w:rsidSect="00402DA2">
      <w:pgSz w:w="12240" w:h="15840"/>
      <w:pgMar w:top="1440" w:right="1440" w:bottom="1701"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2"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6"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0" w15:restartNumberingAfterBreak="0">
    <w:nsid w:val="74721692"/>
    <w:multiLevelType w:val="singleLevel"/>
    <w:tmpl w:val="8BC68E6C"/>
    <w:lvl w:ilvl="0">
      <w:start w:val="1"/>
      <w:numFmt w:val="decimal"/>
      <w:pStyle w:val="Paragraphnumbered"/>
      <w:lvlText w:val="%1."/>
      <w:lvlJc w:val="left"/>
      <w:pPr>
        <w:ind w:left="644" w:hanging="360"/>
      </w:pPr>
      <w:rPr>
        <w:rFonts w:hint="default"/>
      </w:rPr>
    </w:lvl>
  </w:abstractNum>
  <w:abstractNum w:abstractNumId="11"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2E6F57"/>
    <w:multiLevelType w:val="multilevel"/>
    <w:tmpl w:val="697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97E4A"/>
    <w:multiLevelType w:val="multilevel"/>
    <w:tmpl w:val="21562CB0"/>
    <w:name w:val="/#"/>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36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num w:numId="1">
    <w:abstractNumId w:val="13"/>
  </w:num>
  <w:num w:numId="2">
    <w:abstractNumId w:val="1"/>
  </w:num>
  <w:num w:numId="3">
    <w:abstractNumId w:val="10"/>
  </w:num>
  <w:num w:numId="4">
    <w:abstractNumId w:val="5"/>
  </w:num>
  <w:num w:numId="5">
    <w:abstractNumId w:val="9"/>
  </w:num>
  <w:num w:numId="6">
    <w:abstractNumId w:val="2"/>
  </w:num>
  <w:num w:numId="7">
    <w:abstractNumId w:val="4"/>
  </w:num>
  <w:num w:numId="8">
    <w:abstractNumId w:val="0"/>
  </w:num>
  <w:num w:numId="9">
    <w:abstractNumId w:val="12"/>
  </w:num>
  <w:num w:numId="10">
    <w:abstractNumId w:val="7"/>
  </w:num>
  <w:num w:numId="11">
    <w:abstractNumId w:val="11"/>
  </w:num>
  <w:num w:numId="12">
    <w:abstractNumId w:val="8"/>
  </w:num>
  <w:num w:numId="13">
    <w:abstractNumId w:val="3"/>
  </w:num>
  <w:num w:numId="14">
    <w:abstractNumId w:val="12"/>
  </w:num>
  <w:num w:numId="15">
    <w:abstractNumId w:val="6"/>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9"/>
  </w:num>
  <w:num w:numId="30">
    <w:abstractNumId w:val="9"/>
  </w:num>
  <w:num w:numId="31">
    <w:abstractNumId w:val="9"/>
    <w:lvlOverride w:ilvl="0">
      <w:startOverride w:val="1"/>
    </w:lvlOverride>
  </w:num>
  <w:num w:numId="32">
    <w:abstractNumId w:val="9"/>
  </w:num>
  <w:num w:numId="33">
    <w:abstractNumId w:val="9"/>
    <w:lvlOverride w:ilvl="0">
      <w:startOverride w:val="1"/>
    </w:lvlOverride>
  </w:num>
  <w:num w:numId="34">
    <w:abstractNumId w:val="9"/>
    <w:lvlOverride w:ilvl="0">
      <w:startOverride w:val="1"/>
    </w:lvlOverride>
  </w:num>
  <w:num w:numId="35">
    <w:abstractNumId w:val="10"/>
    <w:lvlOverride w:ilvl="0">
      <w:startOverride w:val="1"/>
    </w:lvlOverride>
  </w:num>
  <w:num w:numId="36">
    <w:abstractNumId w:val="10"/>
  </w:num>
  <w:num w:numId="37">
    <w:abstractNumId w:val="10"/>
    <w:lvlOverride w:ilvl="0">
      <w:startOverride w:val="1"/>
    </w:lvlOverride>
  </w:num>
  <w:num w:numId="38">
    <w:abstractNumId w:val="10"/>
  </w:num>
  <w:num w:numId="39">
    <w:abstractNumId w:val="10"/>
    <w:lvlOverride w:ilvl="0">
      <w:startOverride w:val="1"/>
    </w:lvlOverride>
  </w:num>
  <w:num w:numId="40">
    <w:abstractNumId w:val="10"/>
    <w:lvlOverride w:ilvl="0">
      <w:startOverride w:val="1"/>
    </w:lvlOverride>
  </w:num>
  <w:num w:numId="41">
    <w:abstractNumId w:val="10"/>
    <w:lvlOverride w:ilvl="0">
      <w:startOverride w:val="1"/>
    </w:lvlOverride>
  </w:num>
  <w:num w:numId="42">
    <w:abstractNumId w:val="10"/>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PostScriptOverText/>
  <w:embedSystemFont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25B"/>
    <w:rsid w:val="00001006"/>
    <w:rsid w:val="00014140"/>
    <w:rsid w:val="00026DAA"/>
    <w:rsid w:val="00031EC9"/>
    <w:rsid w:val="00053DAE"/>
    <w:rsid w:val="00066FED"/>
    <w:rsid w:val="00075EA6"/>
    <w:rsid w:val="0007709F"/>
    <w:rsid w:val="00086F62"/>
    <w:rsid w:val="0009320B"/>
    <w:rsid w:val="00096AE0"/>
    <w:rsid w:val="000A7AD3"/>
    <w:rsid w:val="000B1B74"/>
    <w:rsid w:val="000B3A2D"/>
    <w:rsid w:val="000B49C0"/>
    <w:rsid w:val="000E382F"/>
    <w:rsid w:val="000F7DCD"/>
    <w:rsid w:val="001036BA"/>
    <w:rsid w:val="001146DC"/>
    <w:rsid w:val="00114AB1"/>
    <w:rsid w:val="001230FF"/>
    <w:rsid w:val="00130BD7"/>
    <w:rsid w:val="0014722D"/>
    <w:rsid w:val="00155B67"/>
    <w:rsid w:val="001562AF"/>
    <w:rsid w:val="00161A5B"/>
    <w:rsid w:val="0016385D"/>
    <w:rsid w:val="0016782F"/>
    <w:rsid w:val="00187877"/>
    <w:rsid w:val="001937E9"/>
    <w:rsid w:val="001A08D1"/>
    <w:rsid w:val="001B1B3F"/>
    <w:rsid w:val="001B263B"/>
    <w:rsid w:val="001B476A"/>
    <w:rsid w:val="001C764F"/>
    <w:rsid w:val="001C7BB3"/>
    <w:rsid w:val="001D469C"/>
    <w:rsid w:val="0023171B"/>
    <w:rsid w:val="00236BFC"/>
    <w:rsid w:val="00237437"/>
    <w:rsid w:val="002502FD"/>
    <w:rsid w:val="00274622"/>
    <w:rsid w:val="00285D24"/>
    <w:rsid w:val="00290390"/>
    <w:rsid w:val="002915D3"/>
    <w:rsid w:val="002941DA"/>
    <w:rsid w:val="002D18B1"/>
    <w:rsid w:val="002E3C35"/>
    <w:rsid w:val="002F5298"/>
    <w:rsid w:val="00337E4F"/>
    <w:rsid w:val="00340C36"/>
    <w:rsid w:val="00346A9D"/>
    <w:rsid w:val="00352272"/>
    <w:rsid w:val="0039376F"/>
    <w:rsid w:val="003A287B"/>
    <w:rsid w:val="003A5C85"/>
    <w:rsid w:val="003A61B1"/>
    <w:rsid w:val="003C2682"/>
    <w:rsid w:val="003E7C74"/>
    <w:rsid w:val="003F31C6"/>
    <w:rsid w:val="003F5EE8"/>
    <w:rsid w:val="0040225B"/>
    <w:rsid w:val="00402DA2"/>
    <w:rsid w:val="00425AC2"/>
    <w:rsid w:val="0044771F"/>
    <w:rsid w:val="00465D79"/>
    <w:rsid w:val="004B151D"/>
    <w:rsid w:val="004C7243"/>
    <w:rsid w:val="004E21DE"/>
    <w:rsid w:val="004E3C57"/>
    <w:rsid w:val="004E3CB2"/>
    <w:rsid w:val="004F4E9F"/>
    <w:rsid w:val="00525813"/>
    <w:rsid w:val="0053513F"/>
    <w:rsid w:val="00574405"/>
    <w:rsid w:val="00574DC4"/>
    <w:rsid w:val="005A0E21"/>
    <w:rsid w:val="005B3A34"/>
    <w:rsid w:val="005B4857"/>
    <w:rsid w:val="005C7E3C"/>
    <w:rsid w:val="005D49AF"/>
    <w:rsid w:val="005E415C"/>
    <w:rsid w:val="005E7946"/>
    <w:rsid w:val="005F7475"/>
    <w:rsid w:val="00611299"/>
    <w:rsid w:val="00616365"/>
    <w:rsid w:val="00616905"/>
    <w:rsid w:val="00616F3B"/>
    <w:rsid w:val="006249A7"/>
    <w:rsid w:val="0064049A"/>
    <w:rsid w:val="0064225B"/>
    <w:rsid w:val="006949BC"/>
    <w:rsid w:val="006A42E4"/>
    <w:rsid w:val="006D1229"/>
    <w:rsid w:val="006D7A18"/>
    <w:rsid w:val="00723B7F"/>
    <w:rsid w:val="00725861"/>
    <w:rsid w:val="0073393A"/>
    <w:rsid w:val="0073539D"/>
    <w:rsid w:val="00767B8A"/>
    <w:rsid w:val="00775481"/>
    <w:rsid w:val="007A233B"/>
    <w:rsid w:val="007A69AB"/>
    <w:rsid w:val="007B37EC"/>
    <w:rsid w:val="007B4863"/>
    <w:rsid w:val="007C65E6"/>
    <w:rsid w:val="007D406B"/>
    <w:rsid w:val="007D4407"/>
    <w:rsid w:val="007D6220"/>
    <w:rsid w:val="007E1CA3"/>
    <w:rsid w:val="00821713"/>
    <w:rsid w:val="00827050"/>
    <w:rsid w:val="0083278B"/>
    <w:rsid w:val="00834538"/>
    <w:rsid w:val="00850E89"/>
    <w:rsid w:val="008930E4"/>
    <w:rsid w:val="00893821"/>
    <w:rsid w:val="008A7B9C"/>
    <w:rsid w:val="008B4754"/>
    <w:rsid w:val="008E6A7A"/>
    <w:rsid w:val="008F1038"/>
    <w:rsid w:val="008F7046"/>
    <w:rsid w:val="009005FC"/>
    <w:rsid w:val="0090451B"/>
    <w:rsid w:val="00943315"/>
    <w:rsid w:val="00950078"/>
    <w:rsid w:val="009854E3"/>
    <w:rsid w:val="00994C97"/>
    <w:rsid w:val="00996A85"/>
    <w:rsid w:val="009B696B"/>
    <w:rsid w:val="009B7671"/>
    <w:rsid w:val="009F056E"/>
    <w:rsid w:val="00A22F10"/>
    <w:rsid w:val="00A26DCD"/>
    <w:rsid w:val="00A314BB"/>
    <w:rsid w:val="00A32B7D"/>
    <w:rsid w:val="00A5596B"/>
    <w:rsid w:val="00A646B3"/>
    <w:rsid w:val="00A6739B"/>
    <w:rsid w:val="00A90413"/>
    <w:rsid w:val="00AB0A9C"/>
    <w:rsid w:val="00AB7119"/>
    <w:rsid w:val="00AD5855"/>
    <w:rsid w:val="00AE7500"/>
    <w:rsid w:val="00AE7F87"/>
    <w:rsid w:val="00AF3542"/>
    <w:rsid w:val="00AF5ABE"/>
    <w:rsid w:val="00B00415"/>
    <w:rsid w:val="00B01FB3"/>
    <w:rsid w:val="00B1000D"/>
    <w:rsid w:val="00B10134"/>
    <w:rsid w:val="00B16BFE"/>
    <w:rsid w:val="00B500E5"/>
    <w:rsid w:val="00B927A8"/>
    <w:rsid w:val="00BA39BB"/>
    <w:rsid w:val="00BA3B3D"/>
    <w:rsid w:val="00BD1909"/>
    <w:rsid w:val="00BD26F1"/>
    <w:rsid w:val="00BE5E16"/>
    <w:rsid w:val="00BE5FD1"/>
    <w:rsid w:val="00C06E05"/>
    <w:rsid w:val="00C120B8"/>
    <w:rsid w:val="00C17370"/>
    <w:rsid w:val="00C26EC0"/>
    <w:rsid w:val="00C56C77"/>
    <w:rsid w:val="00CB7B3E"/>
    <w:rsid w:val="00CC739D"/>
    <w:rsid w:val="00D04468"/>
    <w:rsid w:val="00D36257"/>
    <w:rsid w:val="00D42191"/>
    <w:rsid w:val="00D4687E"/>
    <w:rsid w:val="00D5238B"/>
    <w:rsid w:val="00D53A12"/>
    <w:rsid w:val="00D56C96"/>
    <w:rsid w:val="00D72620"/>
    <w:rsid w:val="00D75F21"/>
    <w:rsid w:val="00DB0C43"/>
    <w:rsid w:val="00DC4898"/>
    <w:rsid w:val="00DE3354"/>
    <w:rsid w:val="00DF7DCD"/>
    <w:rsid w:val="00E26D65"/>
    <w:rsid w:val="00E36030"/>
    <w:rsid w:val="00E4736B"/>
    <w:rsid w:val="00E97764"/>
    <w:rsid w:val="00EA7870"/>
    <w:rsid w:val="00EB1E42"/>
    <w:rsid w:val="00EB7D28"/>
    <w:rsid w:val="00EC0D0C"/>
    <w:rsid w:val="00ED4A2C"/>
    <w:rsid w:val="00EF6940"/>
    <w:rsid w:val="00F2044A"/>
    <w:rsid w:val="00F20BFC"/>
    <w:rsid w:val="00F24D5F"/>
    <w:rsid w:val="00F726C3"/>
    <w:rsid w:val="00F8554C"/>
    <w:rsid w:val="00F97A90"/>
    <w:rsid w:val="00FC2F35"/>
    <w:rsid w:val="00FC3FD7"/>
    <w:rsid w:val="00FD1FC6"/>
    <w:rsid w:val="00FE586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3CC09C"/>
  <w15:docId w15:val="{7C5753C1-0486-4042-91B6-499852A1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pPr>
      <w:keepNext/>
      <w:spacing w:before="240" w:after="240"/>
      <w:jc w:val="center"/>
      <w:outlineLvl w:val="2"/>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paragraph" w:customStyle="1" w:styleId="IsiHeading1">
    <w:name w:val="Isi Heading1"/>
    <w:basedOn w:val="Normal"/>
    <w:link w:val="IsiHeading1Char"/>
    <w:qFormat/>
    <w:rsid w:val="000A7AD3"/>
    <w:pPr>
      <w:spacing w:after="60"/>
      <w:jc w:val="both"/>
    </w:pPr>
    <w:rPr>
      <w:rFonts w:eastAsiaTheme="minorHAnsi"/>
      <w:sz w:val="20"/>
    </w:rPr>
  </w:style>
  <w:style w:type="character" w:customStyle="1" w:styleId="IsiHeading1Char">
    <w:name w:val="Isi Heading1 Char"/>
    <w:basedOn w:val="DefaultParagraphFont"/>
    <w:link w:val="IsiHeading1"/>
    <w:rsid w:val="000A7AD3"/>
    <w:rPr>
      <w:rFonts w:eastAsiaTheme="minorHAnsi"/>
      <w:lang w:val="en-US" w:eastAsia="en-US"/>
    </w:rPr>
  </w:style>
  <w:style w:type="paragraph" w:styleId="ListParagraph">
    <w:name w:val="List Paragraph"/>
    <w:basedOn w:val="Normal"/>
    <w:uiPriority w:val="34"/>
    <w:qFormat/>
    <w:rsid w:val="00DC4898"/>
    <w:pPr>
      <w:spacing w:after="200" w:line="276" w:lineRule="auto"/>
      <w:ind w:left="720"/>
      <w:contextualSpacing/>
    </w:pPr>
    <w:rPr>
      <w:rFonts w:ascii="Calibri" w:eastAsia="Calibri" w:hAnsi="Calibri"/>
      <w:sz w:val="22"/>
      <w:szCs w:val="22"/>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848085">
      <w:bodyDiv w:val="1"/>
      <w:marLeft w:val="0"/>
      <w:marRight w:val="0"/>
      <w:marTop w:val="0"/>
      <w:marBottom w:val="0"/>
      <w:divBdr>
        <w:top w:val="none" w:sz="0" w:space="0" w:color="auto"/>
        <w:left w:val="none" w:sz="0" w:space="0" w:color="auto"/>
        <w:bottom w:val="none" w:sz="0" w:space="0" w:color="auto"/>
        <w:right w:val="none" w:sz="0" w:space="0" w:color="auto"/>
      </w:divBdr>
    </w:div>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ini_diah@yahoo.com" TargetMode="External"/><Relationship Id="rId12" Type="http://schemas.openxmlformats.org/officeDocument/2006/relationships/image" Target="media/image5.png"/><Relationship Id="rId17" Type="http://schemas.openxmlformats.org/officeDocument/2006/relationships/hyperlink" Target="https://en.wikipedia.org/wiki/Hazen-Williams_equation"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mailto:feby.zulkarnain@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A3953F-8737-411D-BA55-5E016CDBD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2440</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16322</CharactersWithSpaces>
  <SharedDoc>false</SharedDoc>
  <HLinks>
    <vt:vector size="6" baseType="variant">
      <vt:variant>
        <vt:i4>3342376</vt:i4>
      </vt:variant>
      <vt:variant>
        <vt:i4>0</vt:i4>
      </vt:variant>
      <vt:variant>
        <vt:i4>0</vt:i4>
      </vt:variant>
      <vt:variant>
        <vt:i4>5</vt:i4>
      </vt:variant>
      <vt:variant>
        <vt:lpwstr>http://www.aip.org/pacs/index.html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creator>Graham</dc:creator>
  <cp:lastModifiedBy>Feby Zulkarnain</cp:lastModifiedBy>
  <cp:revision>4</cp:revision>
  <cp:lastPrinted>2011-03-03T08:29:00Z</cp:lastPrinted>
  <dcterms:created xsi:type="dcterms:W3CDTF">2019-06-20T09:18:00Z</dcterms:created>
  <dcterms:modified xsi:type="dcterms:W3CDTF">2019-06-20T09:53:00Z</dcterms:modified>
</cp:coreProperties>
</file>