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418A1" w14:textId="1CCAC2B9" w:rsidR="00BC36CD" w:rsidRDefault="008D1878" w:rsidP="00EA633C">
      <w:pPr>
        <w:widowControl w:val="0"/>
        <w:autoSpaceDE w:val="0"/>
        <w:autoSpaceDN w:val="0"/>
        <w:adjustRightInd w:val="0"/>
        <w:spacing w:after="240"/>
        <w:contextualSpacing/>
        <w:rPr>
          <w:rFonts w:cs="Times New Roman"/>
          <w:b/>
          <w:color w:val="000000"/>
        </w:rPr>
      </w:pPr>
      <w:r>
        <w:rPr>
          <w:rFonts w:cs="Times New Roman"/>
          <w:b/>
          <w:color w:val="000000"/>
        </w:rPr>
        <w:t>Coding</w:t>
      </w:r>
    </w:p>
    <w:p w14:paraId="5088D416" w14:textId="77777777" w:rsidR="000A025E" w:rsidRDefault="00066AD7" w:rsidP="007D0C99">
      <w:pPr>
        <w:pStyle w:val="BlockQuote"/>
      </w:pPr>
      <w:r w:rsidRPr="007D0C99">
        <w:t>The committee agreed to my request that you explain your coding decisions for each of the coded words in the short English and Nuuchahnulth passages.</w:t>
      </w:r>
    </w:p>
    <w:p w14:paraId="2F3A883A" w14:textId="0565009E" w:rsidR="000A025E" w:rsidRDefault="00240469" w:rsidP="00EA633C">
      <w:pPr>
        <w:widowControl w:val="0"/>
        <w:autoSpaceDE w:val="0"/>
        <w:autoSpaceDN w:val="0"/>
        <w:adjustRightInd w:val="0"/>
        <w:spacing w:after="240"/>
        <w:contextualSpacing/>
        <w:rPr>
          <w:rFonts w:cs="Times New Roman"/>
          <w:color w:val="000000"/>
        </w:rPr>
      </w:pPr>
      <w:r>
        <w:rPr>
          <w:rFonts w:cs="Times New Roman"/>
          <w:color w:val="000000"/>
        </w:rPr>
        <w:t>This has now been added to the ends of Sections 3.3.2: English &amp; 3.3.3: Nuuchahnulth, respectively.</w:t>
      </w:r>
    </w:p>
    <w:p w14:paraId="75509F1E" w14:textId="77EC5C49" w:rsidR="00066AD7" w:rsidRDefault="00066AD7" w:rsidP="00F40448">
      <w:pPr>
        <w:pStyle w:val="BlockQuote"/>
      </w:pPr>
      <w:r>
        <w:t xml:space="preserve">Since the reason for coding is often the same for many words, it would be simplest to give each reason for coding, and list the words where this reason applies. The reasons will presumably be straightforward for most cases, </w:t>
      </w:r>
      <w:r w:rsidR="007F62C7">
        <w:t>but require a couple of sentences for the harder cases.</w:t>
      </w:r>
    </w:p>
    <w:p w14:paraId="6A499ED0" w14:textId="6EC0B303" w:rsidR="00AA20E8" w:rsidRPr="00925B39" w:rsidRDefault="00825525" w:rsidP="00925B39">
      <w:r>
        <w:t>I like</w:t>
      </w:r>
      <w:r w:rsidR="00892F04">
        <w:t>d the idea of</w:t>
      </w:r>
      <w:r w:rsidR="00925B39">
        <w:t xml:space="preserve"> this approach, and adopted it in my explanation of the coding decisions.</w:t>
      </w:r>
    </w:p>
    <w:p w14:paraId="06A4FDA4" w14:textId="4BCBDC62" w:rsidR="007F62C7" w:rsidRDefault="007F62C7" w:rsidP="00925B39">
      <w:pPr>
        <w:pStyle w:val="BlockQuote"/>
      </w:pPr>
      <w:r>
        <w:t>Below I give my notes where I questioned or disagreed with your coding decision. These are probably the ones where you’ll need a couple of sentences or so to justify your coding decision.</w:t>
      </w:r>
    </w:p>
    <w:p w14:paraId="23E2B34E" w14:textId="5053403A" w:rsidR="0031570D" w:rsidRDefault="00CA39C6" w:rsidP="00AA20E8">
      <w:r>
        <w:t xml:space="preserve">I’ve made sure to address each of the issues </w:t>
      </w:r>
      <w:r w:rsidR="003E4570">
        <w:t xml:space="preserve">on specific data points/decisions that </w:t>
      </w:r>
      <w:r>
        <w:t>you raised in</w:t>
      </w:r>
      <w:r w:rsidR="003E4570">
        <w:t xml:space="preserve"> the description of </w:t>
      </w:r>
      <w:r>
        <w:t xml:space="preserve">how I coded the sample </w:t>
      </w:r>
      <w:r w:rsidR="001F7C68">
        <w:t>passage</w:t>
      </w:r>
      <w:r w:rsidR="003E4570">
        <w:t>s</w:t>
      </w:r>
      <w:r w:rsidR="001F7C68">
        <w:t>.</w:t>
      </w:r>
      <w:r w:rsidR="00087DCA">
        <w:t xml:space="preserve"> </w:t>
      </w:r>
      <w:r w:rsidR="002675A2">
        <w:t xml:space="preserve">In cases where I </w:t>
      </w:r>
      <w:r w:rsidR="00233FCB">
        <w:t>adopted</w:t>
      </w:r>
      <w:r w:rsidR="002675A2">
        <w:t xml:space="preserve"> your proposed change, I’ve also </w:t>
      </w:r>
      <w:r w:rsidR="00C73C61">
        <w:t xml:space="preserve">updated my coding of </w:t>
      </w:r>
      <w:r w:rsidR="00D06A89">
        <w:t xml:space="preserve">similar </w:t>
      </w:r>
      <w:r w:rsidR="00C73C61">
        <w:t>data elsewhere in the corpus</w:t>
      </w:r>
      <w:r w:rsidR="00D06A89">
        <w:t>, and adjusted the resulting counts and statistics as appropriate. (Thankfully the particular cases you pointed out happened to be very amenable to bulk find/</w:t>
      </w:r>
      <w:r w:rsidR="00E954A0">
        <w:t>replace,</w:t>
      </w:r>
      <w:r w:rsidR="0031570D">
        <w:t xml:space="preserve"> so it was fairly quick to do.)</w:t>
      </w:r>
    </w:p>
    <w:p w14:paraId="7D2451A6" w14:textId="77777777" w:rsidR="00F2470C" w:rsidRDefault="00F2470C" w:rsidP="00AA20E8"/>
    <w:p w14:paraId="66D268ED" w14:textId="4FEB1D05" w:rsidR="00AA20E8" w:rsidRDefault="00F2470C" w:rsidP="00AA20E8">
      <w:r>
        <w:t xml:space="preserve">Since I address each </w:t>
      </w:r>
      <w:r w:rsidR="00676862">
        <w:t xml:space="preserve">of your comments about individual </w:t>
      </w:r>
      <w:r>
        <w:t>data point</w:t>
      </w:r>
      <w:r w:rsidR="00676862">
        <w:t>s</w:t>
      </w:r>
      <w:r>
        <w:t xml:space="preserve"> </w:t>
      </w:r>
      <w:r w:rsidR="00F23FEA">
        <w:t xml:space="preserve">and decisions </w:t>
      </w:r>
      <w:r>
        <w:t xml:space="preserve">in the dissertation text itself now, I won’t </w:t>
      </w:r>
      <w:r w:rsidR="00F23FEA">
        <w:t xml:space="preserve">reply to </w:t>
      </w:r>
      <w:r w:rsidR="005E30E9">
        <w:t xml:space="preserve">all </w:t>
      </w:r>
      <w:r w:rsidR="00F23FEA">
        <w:t>your comments about them individually here</w:t>
      </w:r>
      <w:r w:rsidR="009F1DA6">
        <w:t xml:space="preserve">, but please let me know if </w:t>
      </w:r>
      <w:r w:rsidR="00284BF8">
        <w:t xml:space="preserve">you feel </w:t>
      </w:r>
      <w:r w:rsidR="00892F04">
        <w:t>any haven’t been sufficiently addressed.</w:t>
      </w:r>
    </w:p>
    <w:p w14:paraId="09C5317F" w14:textId="6D087F18" w:rsidR="0094196E" w:rsidRDefault="0094196E" w:rsidP="00AA20E8"/>
    <w:p w14:paraId="7A00B121" w14:textId="7BD6BE29" w:rsidR="0094196E" w:rsidRDefault="0094196E" w:rsidP="00AA20E8">
      <w:r>
        <w:t xml:space="preserve">EDIT: Actually, </w:t>
      </w:r>
      <w:r w:rsidR="00731001">
        <w:t>I’ve replied to each of your English comments here, as well as addressed them in the dissertation.</w:t>
      </w:r>
    </w:p>
    <w:p w14:paraId="7A053255" w14:textId="3468D925" w:rsidR="00233FCB" w:rsidRDefault="00233FCB" w:rsidP="00AA20E8"/>
    <w:p w14:paraId="355F3A6E" w14:textId="52829FD8" w:rsidR="00233FCB" w:rsidRDefault="00782699" w:rsidP="005C6888">
      <w:r>
        <w:t>The</w:t>
      </w:r>
      <w:r w:rsidR="005C6888">
        <w:t xml:space="preserve"> changes to the coding that arose as a result of your comments affected the statistical results as follows: </w:t>
      </w:r>
      <w:r w:rsidR="00937741">
        <w:t>{</w:t>
      </w:r>
      <w:r w:rsidR="005B6DB0" w:rsidRPr="005B6DB0">
        <w:t>{TODO: Point out which counts/statistics changed.}}</w:t>
      </w:r>
    </w:p>
    <w:p w14:paraId="4BE54B30" w14:textId="77777777" w:rsidR="00233FCB" w:rsidRDefault="00233FCB" w:rsidP="00AA20E8"/>
    <w:p w14:paraId="058BB822" w14:textId="7FD7340B" w:rsidR="005E30E9" w:rsidRPr="00957841" w:rsidRDefault="005E30E9" w:rsidP="00EA633C">
      <w:pPr>
        <w:widowControl w:val="0"/>
        <w:autoSpaceDE w:val="0"/>
        <w:autoSpaceDN w:val="0"/>
        <w:adjustRightInd w:val="0"/>
        <w:spacing w:after="240"/>
        <w:contextualSpacing/>
        <w:rPr>
          <w:rFonts w:cs="Times New Roman"/>
          <w:b/>
          <w:bCs/>
          <w:color w:val="000000"/>
        </w:rPr>
      </w:pPr>
      <w:r>
        <w:rPr>
          <w:rFonts w:cs="Times New Roman"/>
          <w:b/>
          <w:bCs/>
          <w:color w:val="000000"/>
        </w:rPr>
        <w:t>English</w:t>
      </w:r>
    </w:p>
    <w:p w14:paraId="7F35882B" w14:textId="22CC42E7" w:rsidR="001C1B4B" w:rsidRDefault="001C1B4B" w:rsidP="005E30E9">
      <w:pPr>
        <w:pStyle w:val="BlockQuote"/>
      </w:pPr>
      <w:r>
        <w:t xml:space="preserve">line 1, </w:t>
      </w:r>
      <w:r>
        <w:rPr>
          <w:i/>
        </w:rPr>
        <w:t>working</w:t>
      </w:r>
      <w:r w:rsidRPr="001C1B4B">
        <w:rPr>
          <w:vertAlign w:val="subscript"/>
        </w:rPr>
        <w:t>MOD</w:t>
      </w:r>
      <w:r>
        <w:rPr>
          <w:i/>
        </w:rPr>
        <w:t xml:space="preserve"> </w:t>
      </w:r>
      <w:r>
        <w:t>: I would exclude because it is overtly coded (</w:t>
      </w:r>
      <w:r>
        <w:rPr>
          <w:i/>
        </w:rPr>
        <w:t>-ing</w:t>
      </w:r>
      <w:r>
        <w:t>) and a secondary predicate (not talked about, but doesn’t fit in the three-way classification of propositional act functions)</w:t>
      </w:r>
    </w:p>
    <w:p w14:paraId="5A32AB93" w14:textId="60661D2B" w:rsidR="00803E4B" w:rsidRDefault="005350BE" w:rsidP="005E30E9">
      <w:r>
        <w:t xml:space="preserve">Including this token in the analysis was unintentional, </w:t>
      </w:r>
      <w:r w:rsidR="00F1234F">
        <w:t>a</w:t>
      </w:r>
      <w:r w:rsidR="005D667E">
        <w:t xml:space="preserve"> vestig</w:t>
      </w:r>
      <w:r w:rsidR="00620044">
        <w:t>e of an earlier stage where I was coding postnominal participles as modifiers</w:t>
      </w:r>
      <w:r w:rsidR="00ED03C1">
        <w:t>.</w:t>
      </w:r>
      <w:r w:rsidR="003C2F88">
        <w:t xml:space="preserve"> </w:t>
      </w:r>
      <w:r w:rsidR="00ED03C1">
        <w:t xml:space="preserve">I </w:t>
      </w:r>
      <w:r w:rsidR="003C2F88">
        <w:t xml:space="preserve">later realized, as you </w:t>
      </w:r>
      <w:r w:rsidR="00794D38">
        <w:t>state</w:t>
      </w:r>
      <w:r w:rsidR="003C2F88">
        <w:t xml:space="preserve">, </w:t>
      </w:r>
      <w:r w:rsidR="00A327C9">
        <w:t xml:space="preserve">that </w:t>
      </w:r>
      <w:r w:rsidR="00540ED3">
        <w:t xml:space="preserve">these cases </w:t>
      </w:r>
      <w:r w:rsidR="00ED03C1">
        <w:t xml:space="preserve">simply fall outside the 3-way classification and so </w:t>
      </w:r>
      <w:r w:rsidR="00794D38">
        <w:t xml:space="preserve">I </w:t>
      </w:r>
      <w:r w:rsidR="00ED03C1">
        <w:t>decided to exclude them.</w:t>
      </w:r>
      <w:r w:rsidR="005F4482">
        <w:t xml:space="preserve"> I thought I caught all these cases, but I checked and found a couple hundred more that I had missed</w:t>
      </w:r>
      <w:r w:rsidR="00957841">
        <w:t xml:space="preserve"> for unknown reasons. I’ve now removed all these cases from the analysis.</w:t>
      </w:r>
    </w:p>
    <w:p w14:paraId="1B1FEBAB" w14:textId="7AF7FCB7" w:rsidR="00C36E51" w:rsidRPr="00C36E51" w:rsidRDefault="001C1B4B" w:rsidP="0071687B">
      <w:pPr>
        <w:pStyle w:val="BlockQuote"/>
      </w:pPr>
      <w:r>
        <w:t xml:space="preserve">line 2, </w:t>
      </w:r>
      <w:r w:rsidR="007F62C7" w:rsidRPr="001C1B4B">
        <w:rPr>
          <w:i/>
        </w:rPr>
        <w:t>get</w:t>
      </w:r>
      <w:r w:rsidR="007F62C7" w:rsidRPr="001C1B4B">
        <w:rPr>
          <w:vertAlign w:val="subscript"/>
        </w:rPr>
        <w:t>PRED</w:t>
      </w:r>
      <w:r w:rsidR="007F62C7">
        <w:t xml:space="preserve"> </w:t>
      </w:r>
      <w:r w:rsidR="007F62C7" w:rsidRPr="001C1B4B">
        <w:rPr>
          <w:i/>
        </w:rPr>
        <w:t>up</w:t>
      </w:r>
      <w:r>
        <w:t xml:space="preserve">: </w:t>
      </w:r>
      <w:r>
        <w:rPr>
          <w:i/>
        </w:rPr>
        <w:t xml:space="preserve">get up </w:t>
      </w:r>
      <w:r>
        <w:t>is a lexicalized phrasal verb</w:t>
      </w:r>
      <w:r w:rsidR="007F62C7">
        <w:t xml:space="preserve">, so I would code it as </w:t>
      </w:r>
      <w:r w:rsidR="007F62C7" w:rsidRPr="001C1B4B">
        <w:rPr>
          <w:i/>
        </w:rPr>
        <w:t>get</w:t>
      </w:r>
      <w:r w:rsidR="007F62C7">
        <w:t>_</w:t>
      </w:r>
      <w:r w:rsidR="007F62C7" w:rsidRPr="001C1B4B">
        <w:rPr>
          <w:i/>
        </w:rPr>
        <w:t>up</w:t>
      </w:r>
      <w:r w:rsidR="007F62C7" w:rsidRPr="001C1B4B">
        <w:rPr>
          <w:vertAlign w:val="subscript"/>
        </w:rPr>
        <w:t>PRED</w:t>
      </w:r>
      <w:r>
        <w:t xml:space="preserve"> (p. 102)</w:t>
      </w:r>
    </w:p>
    <w:p w14:paraId="01446C34" w14:textId="32A0C6FA" w:rsidR="001C1B4B" w:rsidRDefault="001C1B4B" w:rsidP="00C36E51">
      <w:pPr>
        <w:pStyle w:val="BlockQuote"/>
      </w:pPr>
      <w:r>
        <w:t xml:space="preserve">line 4, </w:t>
      </w:r>
      <w:r>
        <w:rPr>
          <w:i/>
        </w:rPr>
        <w:t>got</w:t>
      </w:r>
      <w:r w:rsidRPr="00D724AA">
        <w:rPr>
          <w:vertAlign w:val="subscript"/>
        </w:rPr>
        <w:t>PRED</w:t>
      </w:r>
      <w:r>
        <w:rPr>
          <w:i/>
        </w:rPr>
        <w:t xml:space="preserve"> pretty bad </w:t>
      </w:r>
      <w:r>
        <w:t xml:space="preserve">: </w:t>
      </w:r>
      <w:r>
        <w:rPr>
          <w:i/>
        </w:rPr>
        <w:t xml:space="preserve">get </w:t>
      </w:r>
      <w:r>
        <w:t>is grammatical (inchoative) and excluded (p. 99)</w:t>
      </w:r>
      <w:r w:rsidR="00B33924">
        <w:t>; it is arguably a</w:t>
      </w:r>
      <w:r w:rsidR="000034F0">
        <w:t>n aspectually modulated</w:t>
      </w:r>
      <w:r w:rsidR="00B33924">
        <w:t xml:space="preserve"> copula form and overtly coded so </w:t>
      </w:r>
      <w:r w:rsidR="00B33924">
        <w:rPr>
          <w:i/>
        </w:rPr>
        <w:t xml:space="preserve">bad </w:t>
      </w:r>
      <w:r w:rsidR="00B33924">
        <w:t>would be excluded</w:t>
      </w:r>
      <w:r w:rsidR="007F62C7">
        <w:t xml:space="preserve"> from coding, as it was</w:t>
      </w:r>
    </w:p>
    <w:p w14:paraId="0A47DFDB" w14:textId="784A06BA" w:rsidR="00D724AA" w:rsidRPr="0071687B" w:rsidRDefault="00C36E51" w:rsidP="0071687B">
      <w:r>
        <w:lastRenderedPageBreak/>
        <w:t>Agreed on both of these</w:t>
      </w:r>
      <w:r w:rsidR="00622321">
        <w:t>. Honestly</w:t>
      </w:r>
      <w:r w:rsidR="00C96785">
        <w:t xml:space="preserve"> I couldn’t tell you why I originally code</w:t>
      </w:r>
      <w:r w:rsidR="0051138A">
        <w:t>d</w:t>
      </w:r>
      <w:r w:rsidR="00C96785">
        <w:t xml:space="preserve"> them this way, since I </w:t>
      </w:r>
      <w:r w:rsidR="0051138A">
        <w:t xml:space="preserve">was explicitly excluding phrasal verbs, and </w:t>
      </w:r>
      <w:r w:rsidR="00622321">
        <w:t xml:space="preserve">I </w:t>
      </w:r>
      <w:r w:rsidR="0051138A">
        <w:t xml:space="preserve">clearly </w:t>
      </w:r>
      <w:r w:rsidR="00622321">
        <w:t xml:space="preserve">considered </w:t>
      </w:r>
      <w:r w:rsidR="00622321">
        <w:rPr>
          <w:i/>
          <w:iCs/>
        </w:rPr>
        <w:t>got</w:t>
      </w:r>
      <w:r w:rsidR="00622321">
        <w:t xml:space="preserve"> in that case to be a copula, as you said</w:t>
      </w:r>
      <w:r>
        <w:t>.</w:t>
      </w:r>
      <w:r w:rsidR="00622321">
        <w:t xml:space="preserve"> In any case, they’ve been fixed now</w:t>
      </w:r>
      <w:r w:rsidR="00D67E9B">
        <w:t xml:space="preserve">, as well as </w:t>
      </w:r>
      <w:r w:rsidR="00C51FB5">
        <w:t>half a dozen other phrasal verb uses I found in the small corpus sample. (</w:t>
      </w:r>
      <w:r w:rsidR="00C51FB5">
        <w:rPr>
          <w:i/>
          <w:iCs/>
        </w:rPr>
        <w:t>get</w:t>
      </w:r>
      <w:r w:rsidR="00C51FB5">
        <w:t xml:space="preserve"> was not examined in the 100-item sample</w:t>
      </w:r>
      <w:r w:rsidR="00142A34">
        <w:t>, so no changes were needed there.)</w:t>
      </w:r>
    </w:p>
    <w:p w14:paraId="026391A1" w14:textId="08648EAB" w:rsidR="00D724AA" w:rsidRDefault="00D724AA" w:rsidP="0071687B">
      <w:pPr>
        <w:pStyle w:val="BlockQuote"/>
      </w:pPr>
      <w:r>
        <w:t xml:space="preserve">line 6, </w:t>
      </w:r>
      <w:r>
        <w:rPr>
          <w:i/>
        </w:rPr>
        <w:t>looked</w:t>
      </w:r>
      <w:r w:rsidRPr="00D724AA">
        <w:rPr>
          <w:vertAlign w:val="subscript"/>
        </w:rPr>
        <w:t>PRED</w:t>
      </w:r>
      <w:r>
        <w:rPr>
          <w:i/>
        </w:rPr>
        <w:t xml:space="preserve"> like soldiers</w:t>
      </w:r>
      <w:r w:rsidRPr="00D724AA">
        <w:rPr>
          <w:vertAlign w:val="subscript"/>
        </w:rPr>
        <w:t>REF</w:t>
      </w:r>
      <w:r>
        <w:rPr>
          <w:i/>
        </w:rPr>
        <w:t xml:space="preserve"> </w:t>
      </w:r>
      <w:r>
        <w:t xml:space="preserve">: </w:t>
      </w:r>
      <w:r>
        <w:rPr>
          <w:i/>
        </w:rPr>
        <w:t xml:space="preserve">look like </w:t>
      </w:r>
      <w:r>
        <w:t xml:space="preserve">is grammatical (evidential copular expression); </w:t>
      </w:r>
      <w:r>
        <w:rPr>
          <w:i/>
        </w:rPr>
        <w:t xml:space="preserve">soldiers </w:t>
      </w:r>
      <w:r w:rsidR="00485DBC">
        <w:t>might</w:t>
      </w:r>
      <w:r>
        <w:t xml:space="preserve"> be excluded due to overt coding</w:t>
      </w:r>
      <w:r w:rsidR="00485DBC">
        <w:t xml:space="preserve"> if </w:t>
      </w:r>
      <w:r w:rsidR="00485DBC">
        <w:rPr>
          <w:i/>
        </w:rPr>
        <w:t xml:space="preserve">look like </w:t>
      </w:r>
      <w:r w:rsidR="00485DBC">
        <w:t>is treated as a evidentially modulated copula</w:t>
      </w:r>
    </w:p>
    <w:p w14:paraId="28860C57" w14:textId="1BAA39FD" w:rsidR="00D724AA" w:rsidRPr="00247EA8" w:rsidRDefault="00FA5D59" w:rsidP="00247EA8">
      <w:r>
        <w:t>I</w:t>
      </w:r>
      <w:r w:rsidR="008D09A6">
        <w:t xml:space="preserve"> don’t think I’d call this</w:t>
      </w:r>
      <w:r w:rsidR="008C2473">
        <w:t xml:space="preserve"> a copular expression</w:t>
      </w:r>
      <w:r w:rsidR="00BF0353">
        <w:t xml:space="preserve"> (I’d maybe treat it </w:t>
      </w:r>
      <w:r w:rsidR="00BA3495">
        <w:t xml:space="preserve">as </w:t>
      </w:r>
      <w:r w:rsidR="00BF0353">
        <w:t xml:space="preserve">a </w:t>
      </w:r>
      <w:r w:rsidR="002C0B9B">
        <w:t xml:space="preserve">lexicalized </w:t>
      </w:r>
      <w:r w:rsidR="00BA3495">
        <w:t>phrasal verb meaning ‘have the appearance of’)</w:t>
      </w:r>
      <w:r w:rsidR="008C2473">
        <w:t>, but I can certainly agree that</w:t>
      </w:r>
      <w:r w:rsidR="0019180A">
        <w:t xml:space="preserve"> </w:t>
      </w:r>
      <w:r w:rsidR="0019180A">
        <w:rPr>
          <w:i/>
          <w:iCs/>
        </w:rPr>
        <w:t>look like</w:t>
      </w:r>
      <w:r w:rsidR="0019180A">
        <w:t xml:space="preserve"> is a complex expression of some sort, and that therefore </w:t>
      </w:r>
      <w:r w:rsidR="00BF0353">
        <w:rPr>
          <w:i/>
          <w:iCs/>
        </w:rPr>
        <w:t>looked</w:t>
      </w:r>
      <w:r w:rsidR="00BF0353">
        <w:t xml:space="preserve"> here should be excluded</w:t>
      </w:r>
      <w:r w:rsidR="00942814">
        <w:t xml:space="preserve"> from the analysis</w:t>
      </w:r>
      <w:r w:rsidR="009B1EEF">
        <w:t xml:space="preserve"> (but </w:t>
      </w:r>
      <w:r w:rsidR="009B1EEF">
        <w:rPr>
          <w:i/>
          <w:iCs/>
        </w:rPr>
        <w:t>soldiers</w:t>
      </w:r>
      <w:r w:rsidR="009B1EEF">
        <w:t xml:space="preserve"> retained)</w:t>
      </w:r>
      <w:r w:rsidR="00BF0353">
        <w:t>.</w:t>
      </w:r>
      <w:r w:rsidR="00FE418B">
        <w:t xml:space="preserve"> </w:t>
      </w:r>
      <w:r w:rsidR="00066996">
        <w:t xml:space="preserve">I’ve adjusted the analysis here, and 335 </w:t>
      </w:r>
      <w:r w:rsidR="00045957">
        <w:t>places</w:t>
      </w:r>
      <w:r w:rsidR="00066996">
        <w:t xml:space="preserve"> in the 100-item corpus where this applies as well.</w:t>
      </w:r>
    </w:p>
    <w:p w14:paraId="0738EB41" w14:textId="7DBF5269" w:rsidR="00D724AA" w:rsidRPr="007F62C7" w:rsidRDefault="00D724AA" w:rsidP="00247EA8">
      <w:pPr>
        <w:pStyle w:val="BlockQuote"/>
      </w:pPr>
      <w:r>
        <w:t xml:space="preserve">line 7, </w:t>
      </w:r>
      <w:r>
        <w:rPr>
          <w:i/>
        </w:rPr>
        <w:t>street</w:t>
      </w:r>
      <w:r w:rsidRPr="00D724AA">
        <w:rPr>
          <w:vertAlign w:val="subscript"/>
        </w:rPr>
        <w:t>MOD</w:t>
      </w:r>
      <w:r>
        <w:rPr>
          <w:i/>
        </w:rPr>
        <w:t xml:space="preserve"> clothes</w:t>
      </w:r>
      <w:r w:rsidRPr="00D724AA">
        <w:rPr>
          <w:vertAlign w:val="subscript"/>
        </w:rPr>
        <w:t>REF</w:t>
      </w:r>
      <w:r>
        <w:rPr>
          <w:i/>
        </w:rPr>
        <w:t xml:space="preserve"> </w:t>
      </w:r>
      <w:r>
        <w:t xml:space="preserve">: this is a binominal lexeme, and </w:t>
      </w:r>
      <w:r>
        <w:rPr>
          <w:i/>
        </w:rPr>
        <w:t xml:space="preserve">street </w:t>
      </w:r>
      <w:r>
        <w:t>is part of that lexeme, because it is typifying</w:t>
      </w:r>
      <w:r w:rsidR="007F62C7">
        <w:t>. We discussed this case at length; my preference would be to either code it as a complex nominal (</w:t>
      </w:r>
      <w:r w:rsidR="007F62C7">
        <w:rPr>
          <w:i/>
        </w:rPr>
        <w:t>street</w:t>
      </w:r>
      <w:r w:rsidR="007F62C7" w:rsidRPr="007F62C7">
        <w:t>_</w:t>
      </w:r>
      <w:r w:rsidR="007F62C7">
        <w:rPr>
          <w:i/>
        </w:rPr>
        <w:t>clothes</w:t>
      </w:r>
      <w:r w:rsidR="007F62C7" w:rsidRPr="00D724AA">
        <w:rPr>
          <w:vertAlign w:val="subscript"/>
        </w:rPr>
        <w:t>REF</w:t>
      </w:r>
      <w:r w:rsidR="007F62C7" w:rsidRPr="007F62C7">
        <w:rPr>
          <w:smallCaps/>
        </w:rPr>
        <w:t>)</w:t>
      </w:r>
      <w:r w:rsidR="007F62C7">
        <w:t xml:space="preserve"> or, to deal with the data sparsity issue of treating complex lexical items as distinct forms</w:t>
      </w:r>
      <w:r w:rsidR="00887EEE">
        <w:t xml:space="preserve"> that you raised</w:t>
      </w:r>
      <w:r w:rsidR="007F62C7">
        <w:t>, just code the head (</w:t>
      </w:r>
      <w:r w:rsidR="007F62C7">
        <w:rPr>
          <w:i/>
        </w:rPr>
        <w:t>street</w:t>
      </w:r>
      <w:r w:rsidR="007F62C7">
        <w:t xml:space="preserve"> </w:t>
      </w:r>
      <w:r w:rsidR="007F62C7">
        <w:rPr>
          <w:i/>
        </w:rPr>
        <w:t>clothes</w:t>
      </w:r>
      <w:r w:rsidR="007F62C7" w:rsidRPr="00D724AA">
        <w:rPr>
          <w:vertAlign w:val="subscript"/>
        </w:rPr>
        <w:t>REF</w:t>
      </w:r>
      <w:r w:rsidR="007F62C7" w:rsidRPr="007F62C7">
        <w:rPr>
          <w:smallCaps/>
        </w:rPr>
        <w:t>)</w:t>
      </w:r>
    </w:p>
    <w:p w14:paraId="5476B4E7" w14:textId="3DA72E73" w:rsidR="00247EA8" w:rsidRPr="00C94A30" w:rsidRDefault="009A1371" w:rsidP="00EA633C">
      <w:pPr>
        <w:widowControl w:val="0"/>
        <w:autoSpaceDE w:val="0"/>
        <w:autoSpaceDN w:val="0"/>
        <w:adjustRightInd w:val="0"/>
        <w:spacing w:after="240"/>
        <w:contextualSpacing/>
        <w:rPr>
          <w:rFonts w:cs="Times New Roman"/>
          <w:color w:val="000000"/>
        </w:rPr>
      </w:pPr>
      <w:r>
        <w:rPr>
          <w:rFonts w:cs="Times New Roman"/>
          <w:color w:val="000000"/>
        </w:rPr>
        <w:t>I agree with you</w:t>
      </w:r>
      <w:r w:rsidR="00073675">
        <w:rPr>
          <w:rFonts w:cs="Times New Roman"/>
          <w:color w:val="000000"/>
        </w:rPr>
        <w:t xml:space="preserve"> on this and other similar cases</w:t>
      </w:r>
      <w:r w:rsidR="00D92CD2">
        <w:rPr>
          <w:rFonts w:cs="Times New Roman"/>
          <w:color w:val="000000"/>
        </w:rPr>
        <w:t xml:space="preserve"> of binominal lexemes</w:t>
      </w:r>
      <w:r w:rsidR="00073675">
        <w:rPr>
          <w:rFonts w:cs="Times New Roman"/>
          <w:color w:val="000000"/>
        </w:rPr>
        <w:t>. However, changing the coding of</w:t>
      </w:r>
      <w:r w:rsidR="00DC1A9C">
        <w:rPr>
          <w:rFonts w:cs="Times New Roman"/>
          <w:color w:val="000000"/>
        </w:rPr>
        <w:t xml:space="preserve"> this case wouldn’t be consistent with how I treated </w:t>
      </w:r>
      <w:r w:rsidR="008E3BEF">
        <w:rPr>
          <w:rFonts w:cs="Times New Roman"/>
          <w:color w:val="000000"/>
        </w:rPr>
        <w:t xml:space="preserve">multi-word </w:t>
      </w:r>
      <w:r w:rsidR="00DC1A9C">
        <w:rPr>
          <w:rFonts w:cs="Times New Roman"/>
          <w:color w:val="000000"/>
        </w:rPr>
        <w:t>compounds generally.</w:t>
      </w:r>
      <w:r w:rsidR="008E3BEF">
        <w:rPr>
          <w:rFonts w:cs="Times New Roman"/>
          <w:color w:val="000000"/>
        </w:rPr>
        <w:t xml:space="preserve"> To be consistent, I either need to leave this case as is, or</w:t>
      </w:r>
      <w:r w:rsidR="00D92CD2">
        <w:rPr>
          <w:rFonts w:cs="Times New Roman"/>
          <w:color w:val="000000"/>
        </w:rPr>
        <w:t xml:space="preserve"> recode all similar cases. Unfortunately,</w:t>
      </w:r>
      <w:r w:rsidR="008E3BEF">
        <w:rPr>
          <w:rFonts w:cs="Times New Roman"/>
          <w:color w:val="000000"/>
        </w:rPr>
        <w:t xml:space="preserve"> </w:t>
      </w:r>
      <w:r w:rsidR="00472750">
        <w:rPr>
          <w:rFonts w:cs="Times New Roman"/>
          <w:color w:val="000000"/>
        </w:rPr>
        <w:t xml:space="preserve">recoding </w:t>
      </w:r>
      <w:r w:rsidR="00326C7B">
        <w:rPr>
          <w:rFonts w:cs="Times New Roman"/>
          <w:color w:val="000000"/>
        </w:rPr>
        <w:t>those cases would involve a great deal of work</w:t>
      </w:r>
      <w:r w:rsidR="006E4E73">
        <w:rPr>
          <w:rFonts w:cs="Times New Roman"/>
          <w:color w:val="000000"/>
        </w:rPr>
        <w:t xml:space="preserve">, </w:t>
      </w:r>
      <w:r w:rsidR="00FC486C">
        <w:rPr>
          <w:rFonts w:cs="Times New Roman"/>
          <w:color w:val="000000"/>
        </w:rPr>
        <w:t>because it would require manual reinspection of each token</w:t>
      </w:r>
      <w:r w:rsidR="006E4E73">
        <w:rPr>
          <w:rFonts w:cs="Times New Roman"/>
          <w:color w:val="000000"/>
        </w:rPr>
        <w:t>.</w:t>
      </w:r>
      <w:r w:rsidR="00A523F5">
        <w:rPr>
          <w:rFonts w:cs="Times New Roman"/>
          <w:color w:val="000000"/>
        </w:rPr>
        <w:t xml:space="preserve"> I think </w:t>
      </w:r>
      <w:r w:rsidR="00B06AF0">
        <w:rPr>
          <w:rFonts w:cs="Times New Roman"/>
          <w:color w:val="000000"/>
        </w:rPr>
        <w:t xml:space="preserve">for this study </w:t>
      </w:r>
      <w:r w:rsidR="00A523F5">
        <w:rPr>
          <w:rFonts w:cs="Times New Roman"/>
          <w:color w:val="000000"/>
        </w:rPr>
        <w:t xml:space="preserve">I have to accept that my operationalization of compounds is </w:t>
      </w:r>
      <w:r w:rsidR="00B06AF0">
        <w:rPr>
          <w:rFonts w:cs="Times New Roman"/>
          <w:color w:val="000000"/>
        </w:rPr>
        <w:t xml:space="preserve">imperfect, </w:t>
      </w:r>
      <w:r w:rsidR="00534E25">
        <w:rPr>
          <w:rFonts w:cs="Times New Roman"/>
          <w:color w:val="000000"/>
        </w:rPr>
        <w:t xml:space="preserve">with </w:t>
      </w:r>
      <w:r w:rsidR="00B06AF0">
        <w:rPr>
          <w:rFonts w:cs="Times New Roman"/>
          <w:color w:val="000000"/>
        </w:rPr>
        <w:t xml:space="preserve">the result that </w:t>
      </w:r>
      <w:r w:rsidR="00834FAA">
        <w:rPr>
          <w:rFonts w:cs="Times New Roman"/>
          <w:color w:val="000000"/>
        </w:rPr>
        <w:t>the English data likely display more reference-modification polyfunctionality</w:t>
      </w:r>
      <w:r w:rsidR="00534E25">
        <w:rPr>
          <w:rFonts w:cs="Times New Roman"/>
          <w:color w:val="000000"/>
        </w:rPr>
        <w:t xml:space="preserve"> than the language actually has. So, I’ve acknowledged this limitation in the section where I discuss my treatment of compound</w:t>
      </w:r>
      <w:r w:rsidR="004D6154">
        <w:rPr>
          <w:rFonts w:cs="Times New Roman"/>
          <w:color w:val="000000"/>
        </w:rPr>
        <w:t>s</w:t>
      </w:r>
      <w:r w:rsidR="00FF4F88">
        <w:rPr>
          <w:rFonts w:cs="Times New Roman"/>
          <w:color w:val="000000"/>
        </w:rPr>
        <w:t xml:space="preserve"> {{give section and page number}}</w:t>
      </w:r>
      <w:r w:rsidR="00534E25">
        <w:rPr>
          <w:rFonts w:cs="Times New Roman"/>
          <w:color w:val="000000"/>
        </w:rPr>
        <w:t>, and stated its potential effect.</w:t>
      </w:r>
      <w:r w:rsidR="00C94A30">
        <w:rPr>
          <w:rFonts w:cs="Times New Roman"/>
          <w:color w:val="000000"/>
        </w:rPr>
        <w:t xml:space="preserve"> I’ve also explicitly discussed </w:t>
      </w:r>
      <w:r w:rsidR="00C94A30">
        <w:rPr>
          <w:rFonts w:cs="Times New Roman"/>
          <w:i/>
          <w:iCs/>
          <w:color w:val="000000"/>
        </w:rPr>
        <w:t>street clothes</w:t>
      </w:r>
      <w:r w:rsidR="00C94A30">
        <w:rPr>
          <w:rFonts w:cs="Times New Roman"/>
          <w:color w:val="000000"/>
        </w:rPr>
        <w:t xml:space="preserve"> at length when presenting my coding decisions for the sample passage.</w:t>
      </w:r>
    </w:p>
    <w:p w14:paraId="542038F9" w14:textId="36D24A81" w:rsidR="00D724AA" w:rsidRDefault="00D724AA" w:rsidP="00F11B4B">
      <w:pPr>
        <w:pStyle w:val="BlockQuote"/>
      </w:pPr>
      <w:r>
        <w:t xml:space="preserve">line 8, </w:t>
      </w:r>
      <w:r>
        <w:rPr>
          <w:i/>
        </w:rPr>
        <w:t>“Those are guerillas</w:t>
      </w:r>
      <w:r w:rsidRPr="00D724AA">
        <w:rPr>
          <w:vertAlign w:val="subscript"/>
        </w:rPr>
        <w:t>REF</w:t>
      </w:r>
      <w:r>
        <w:rPr>
          <w:i/>
        </w:rPr>
        <w:t xml:space="preserve">!” </w:t>
      </w:r>
      <w:r>
        <w:t>: a predicate nominal with a copula, so excluded because it is overtly coded</w:t>
      </w:r>
    </w:p>
    <w:p w14:paraId="1D5915F1" w14:textId="784A2001" w:rsidR="00E96F1D" w:rsidRDefault="00120CDC" w:rsidP="00AA7B0C">
      <w:pPr>
        <w:widowControl w:val="0"/>
        <w:autoSpaceDE w:val="0"/>
        <w:autoSpaceDN w:val="0"/>
        <w:adjustRightInd w:val="0"/>
        <w:spacing w:after="240"/>
        <w:contextualSpacing/>
        <w:rPr>
          <w:rFonts w:cs="Times New Roman"/>
          <w:color w:val="000000"/>
        </w:rPr>
      </w:pPr>
      <w:r>
        <w:rPr>
          <w:rFonts w:cs="Times New Roman"/>
          <w:color w:val="000000"/>
        </w:rPr>
        <w:t>Not sure how I missed this case</w:t>
      </w:r>
      <w:r w:rsidR="0032513D">
        <w:rPr>
          <w:rFonts w:cs="Times New Roman"/>
          <w:color w:val="000000"/>
        </w:rPr>
        <w:t xml:space="preserve"> (I think I intended the annotation to go on the next token of </w:t>
      </w:r>
      <w:r w:rsidR="0032513D" w:rsidRPr="0032513D">
        <w:rPr>
          <w:rFonts w:cs="Times New Roman"/>
          <w:i/>
          <w:iCs/>
          <w:color w:val="000000"/>
        </w:rPr>
        <w:t>guerillas</w:t>
      </w:r>
      <w:r w:rsidR="000077D0">
        <w:rPr>
          <w:rFonts w:cs="Times New Roman"/>
          <w:color w:val="000000"/>
        </w:rPr>
        <w:t>, which I’ve now done</w:t>
      </w:r>
      <w:r w:rsidR="0032513D">
        <w:rPr>
          <w:rFonts w:cs="Times New Roman"/>
          <w:color w:val="000000"/>
        </w:rPr>
        <w:t>)</w:t>
      </w:r>
      <w:r>
        <w:rPr>
          <w:rFonts w:cs="Times New Roman"/>
          <w:color w:val="000000"/>
        </w:rPr>
        <w:t>. I check</w:t>
      </w:r>
      <w:r w:rsidR="000C794F">
        <w:rPr>
          <w:rFonts w:cs="Times New Roman"/>
          <w:color w:val="000000"/>
        </w:rPr>
        <w:t>ed</w:t>
      </w:r>
      <w:r>
        <w:rPr>
          <w:rFonts w:cs="Times New Roman"/>
          <w:color w:val="000000"/>
        </w:rPr>
        <w:t xml:space="preserve"> for other cases where an item coded as a referent or modifier </w:t>
      </w:r>
      <w:r w:rsidR="000C794F">
        <w:rPr>
          <w:rFonts w:cs="Times New Roman"/>
          <w:color w:val="000000"/>
        </w:rPr>
        <w:t xml:space="preserve">is immediately </w:t>
      </w:r>
      <w:r>
        <w:rPr>
          <w:rFonts w:cs="Times New Roman"/>
          <w:color w:val="000000"/>
        </w:rPr>
        <w:t xml:space="preserve">preceded by a form of </w:t>
      </w:r>
      <w:r w:rsidR="00B711CE">
        <w:rPr>
          <w:rFonts w:cs="Times New Roman"/>
          <w:i/>
          <w:iCs/>
          <w:color w:val="000000"/>
        </w:rPr>
        <w:t>be</w:t>
      </w:r>
      <w:r w:rsidR="00B711CE">
        <w:rPr>
          <w:rFonts w:cs="Times New Roman"/>
          <w:color w:val="000000"/>
        </w:rPr>
        <w:t>, and found 32 other cases to be corrected.</w:t>
      </w:r>
      <w:r w:rsidR="00EA138D">
        <w:rPr>
          <w:rFonts w:cs="Times New Roman"/>
          <w:color w:val="000000"/>
        </w:rPr>
        <w:t xml:space="preserve"> These all appear to be coding errors.</w:t>
      </w:r>
      <w:r w:rsidR="00727F64">
        <w:rPr>
          <w:rFonts w:cs="Times New Roman"/>
          <w:color w:val="000000"/>
        </w:rPr>
        <w:t xml:space="preserve"> There were thousands </w:t>
      </w:r>
      <w:r w:rsidR="00680261">
        <w:rPr>
          <w:rFonts w:cs="Times New Roman"/>
          <w:color w:val="000000"/>
        </w:rPr>
        <w:t xml:space="preserve">and thousands </w:t>
      </w:r>
      <w:r w:rsidR="00727F64">
        <w:rPr>
          <w:rFonts w:cs="Times New Roman"/>
          <w:color w:val="000000"/>
        </w:rPr>
        <w:t>of instances of copula constructions</w:t>
      </w:r>
      <w:r w:rsidR="00AA7B0C">
        <w:rPr>
          <w:rFonts w:cs="Times New Roman"/>
          <w:color w:val="000000"/>
        </w:rPr>
        <w:t xml:space="preserve"> however, so thankfully this constitutes a very small error rate. </w:t>
      </w:r>
      <w:r w:rsidR="006F2ADE">
        <w:rPr>
          <w:rFonts w:cs="Times New Roman"/>
          <w:color w:val="000000"/>
        </w:rPr>
        <w:t>(</w:t>
      </w:r>
      <w:r w:rsidR="00AA7B0C">
        <w:rPr>
          <w:rFonts w:cs="Times New Roman"/>
          <w:color w:val="000000"/>
        </w:rPr>
        <w:t>I’m sure there are plenty of other one-off errors</w:t>
      </w:r>
      <w:r w:rsidR="00605428">
        <w:rPr>
          <w:rFonts w:cs="Times New Roman"/>
          <w:color w:val="000000"/>
        </w:rPr>
        <w:t xml:space="preserve"> I’ve made</w:t>
      </w:r>
      <w:r w:rsidR="000C794F">
        <w:rPr>
          <w:rFonts w:cs="Times New Roman"/>
          <w:color w:val="000000"/>
        </w:rPr>
        <w:t xml:space="preserve"> too</w:t>
      </w:r>
      <w:r w:rsidR="00605428">
        <w:rPr>
          <w:rFonts w:cs="Times New Roman"/>
          <w:color w:val="000000"/>
        </w:rPr>
        <w:t>, given the size of the data set.</w:t>
      </w:r>
      <w:r w:rsidR="006F2ADE">
        <w:rPr>
          <w:rFonts w:cs="Times New Roman"/>
          <w:color w:val="000000"/>
        </w:rPr>
        <w:t xml:space="preserve"> </w:t>
      </w:r>
      <w:r w:rsidR="009527F3">
        <w:rPr>
          <w:rFonts w:cs="Times New Roman"/>
          <w:color w:val="000000"/>
        </w:rPr>
        <w:t xml:space="preserve">If I had funding to do so, I’d love to hire multiple research assistants to help with data coding, </w:t>
      </w:r>
      <w:r w:rsidR="0094639B">
        <w:rPr>
          <w:rFonts w:cs="Times New Roman"/>
          <w:color w:val="000000"/>
        </w:rPr>
        <w:t>to</w:t>
      </w:r>
      <w:r w:rsidR="009527F3">
        <w:rPr>
          <w:rFonts w:cs="Times New Roman"/>
          <w:color w:val="000000"/>
        </w:rPr>
        <w:t xml:space="preserve"> ensure </w:t>
      </w:r>
      <w:r w:rsidR="00680261">
        <w:rPr>
          <w:rFonts w:cs="Times New Roman"/>
          <w:color w:val="000000"/>
        </w:rPr>
        <w:t>consistency</w:t>
      </w:r>
      <w:r w:rsidR="009527F3">
        <w:rPr>
          <w:rFonts w:cs="Times New Roman"/>
          <w:color w:val="000000"/>
        </w:rPr>
        <w:t>.</w:t>
      </w:r>
      <w:r w:rsidR="006F2ADE">
        <w:rPr>
          <w:rFonts w:cs="Times New Roman"/>
          <w:color w:val="000000"/>
        </w:rPr>
        <w:t>)</w:t>
      </w:r>
    </w:p>
    <w:p w14:paraId="4EBAC2F8" w14:textId="6DD680A1" w:rsidR="00731001" w:rsidRDefault="00731001" w:rsidP="00AA7B0C">
      <w:pPr>
        <w:widowControl w:val="0"/>
        <w:autoSpaceDE w:val="0"/>
        <w:autoSpaceDN w:val="0"/>
        <w:adjustRightInd w:val="0"/>
        <w:spacing w:after="240"/>
        <w:contextualSpacing/>
        <w:rPr>
          <w:rFonts w:cs="Times New Roman"/>
          <w:color w:val="000000"/>
        </w:rPr>
      </w:pPr>
    </w:p>
    <w:p w14:paraId="591186D7" w14:textId="4AAFA5AB" w:rsidR="00731001" w:rsidRPr="00731001" w:rsidRDefault="00731001" w:rsidP="00AA7B0C">
      <w:pPr>
        <w:widowControl w:val="0"/>
        <w:autoSpaceDE w:val="0"/>
        <w:autoSpaceDN w:val="0"/>
        <w:adjustRightInd w:val="0"/>
        <w:spacing w:after="240"/>
        <w:contextualSpacing/>
        <w:rPr>
          <w:rFonts w:cs="Times New Roman"/>
          <w:b/>
          <w:bCs/>
          <w:color w:val="000000"/>
        </w:rPr>
      </w:pPr>
      <w:r>
        <w:rPr>
          <w:rFonts w:cs="Times New Roman"/>
          <w:b/>
          <w:bCs/>
          <w:color w:val="000000"/>
        </w:rPr>
        <w:t>Nuuchahnulth</w:t>
      </w:r>
    </w:p>
    <w:p w14:paraId="488FB2E1" w14:textId="77777777" w:rsidR="00120CDC" w:rsidRDefault="00120CDC" w:rsidP="00EA633C">
      <w:pPr>
        <w:widowControl w:val="0"/>
        <w:autoSpaceDE w:val="0"/>
        <w:autoSpaceDN w:val="0"/>
        <w:adjustRightInd w:val="0"/>
        <w:spacing w:after="240"/>
        <w:contextualSpacing/>
        <w:rPr>
          <w:rFonts w:cs="Times New Roman"/>
          <w:color w:val="000000"/>
        </w:rPr>
      </w:pPr>
    </w:p>
    <w:p w14:paraId="3E733AAD" w14:textId="4F737BD2" w:rsidR="00D724AA" w:rsidRPr="007F62C7" w:rsidRDefault="007F62C7" w:rsidP="00EA633C">
      <w:pPr>
        <w:widowControl w:val="0"/>
        <w:autoSpaceDE w:val="0"/>
        <w:autoSpaceDN w:val="0"/>
        <w:adjustRightInd w:val="0"/>
        <w:spacing w:after="240"/>
        <w:contextualSpacing/>
        <w:rPr>
          <w:rFonts w:cs="Times New Roman"/>
          <w:color w:val="000000"/>
        </w:rPr>
      </w:pPr>
      <w:r>
        <w:rPr>
          <w:rFonts w:cs="Times New Roman"/>
          <w:color w:val="000000"/>
        </w:rPr>
        <w:t xml:space="preserve">This is more challenging because there are some general issues of grammatical analysis that arose when I read Nakayama (2001), and they recur in the cases where I questioned or disagreed with your coding. I list the general issues first; we only discussed the first </w:t>
      </w:r>
      <w:r>
        <w:rPr>
          <w:rFonts w:cs="Times New Roman"/>
          <w:color w:val="000000"/>
        </w:rPr>
        <w:lastRenderedPageBreak/>
        <w:t>one in the defense. Because of the difficulty in dealing with complex predicates, I didn’t do a coding count. But I had no problems with 7/14 of the lines of the Nuuchahnulth sample, nor with many of the words in the remaining 7 lines.</w:t>
      </w:r>
    </w:p>
    <w:p w14:paraId="00C22A4B" w14:textId="77777777" w:rsidR="00CD10A7" w:rsidRDefault="00CD10A7" w:rsidP="00EA633C">
      <w:pPr>
        <w:widowControl w:val="0"/>
        <w:autoSpaceDE w:val="0"/>
        <w:autoSpaceDN w:val="0"/>
        <w:adjustRightInd w:val="0"/>
        <w:spacing w:after="240"/>
        <w:contextualSpacing/>
        <w:rPr>
          <w:rFonts w:cs="Times New Roman"/>
          <w:i/>
          <w:color w:val="000000"/>
        </w:rPr>
      </w:pPr>
    </w:p>
    <w:p w14:paraId="44F8D706" w14:textId="60D197F6" w:rsidR="00CD10A7" w:rsidRDefault="00CD10A7" w:rsidP="00EA633C">
      <w:pPr>
        <w:widowControl w:val="0"/>
        <w:autoSpaceDE w:val="0"/>
        <w:autoSpaceDN w:val="0"/>
        <w:adjustRightInd w:val="0"/>
        <w:spacing w:after="240"/>
        <w:contextualSpacing/>
        <w:rPr>
          <w:rFonts w:cs="Times New Roman"/>
          <w:color w:val="000000"/>
        </w:rPr>
      </w:pPr>
      <w:r w:rsidRPr="007F62C7">
        <w:rPr>
          <w:rFonts w:cs="Times New Roman"/>
          <w:i/>
          <w:color w:val="000000"/>
        </w:rPr>
        <w:t>Verb serialization</w:t>
      </w:r>
      <w:r w:rsidR="007F62C7">
        <w:rPr>
          <w:rFonts w:cs="Times New Roman"/>
          <w:i/>
          <w:color w:val="000000"/>
        </w:rPr>
        <w:t xml:space="preserve"> (we discussed this in the defense)</w:t>
      </w:r>
      <w:r w:rsidRPr="007F62C7">
        <w:rPr>
          <w:rFonts w:cs="Times New Roman"/>
          <w:i/>
          <w:color w:val="000000"/>
        </w:rPr>
        <w:t>:</w:t>
      </w:r>
      <w:r>
        <w:rPr>
          <w:rFonts w:cs="Times New Roman"/>
          <w:color w:val="000000"/>
        </w:rPr>
        <w:t xml:space="preserve"> Nakayama describes serialization as conceptualization as a single </w:t>
      </w:r>
      <w:r w:rsidR="00A04C4E">
        <w:rPr>
          <w:rFonts w:cs="Times New Roman"/>
          <w:color w:val="000000"/>
        </w:rPr>
        <w:t>state of affairs</w:t>
      </w:r>
      <w:r>
        <w:rPr>
          <w:rFonts w:cs="Times New Roman"/>
          <w:color w:val="000000"/>
        </w:rPr>
        <w:t xml:space="preserve"> (</w:t>
      </w:r>
      <w:r w:rsidR="00A04C4E">
        <w:rPr>
          <w:rFonts w:cs="Times New Roman"/>
          <w:color w:val="000000"/>
        </w:rPr>
        <w:t xml:space="preserve">Nakayama 2001:98; cf. p. 107), which is also a single complex predication (Nakayama 2001:99-100). Thus, a serial string should be treated as a single complex predicate, not a series of single separate </w:t>
      </w:r>
      <w:r w:rsidR="00A04C4E">
        <w:rPr>
          <w:rFonts w:cs="Times New Roman"/>
          <w:smallCaps/>
          <w:color w:val="000000"/>
        </w:rPr>
        <w:t>pred</w:t>
      </w:r>
      <w:r w:rsidR="00A04C4E">
        <w:rPr>
          <w:rFonts w:cs="Times New Roman"/>
          <w:color w:val="000000"/>
        </w:rPr>
        <w:t>s. Nakayama calls each serialized element a “clause”, but warns the reader against considering this “clause” to be comparable to “clause” in other languages (i.e. as a comparative concept; Nakayama 2001:76).</w:t>
      </w:r>
      <w:r w:rsidR="0016515F">
        <w:rPr>
          <w:rFonts w:cs="Times New Roman"/>
          <w:color w:val="000000"/>
        </w:rPr>
        <w:t xml:space="preserve"> So this “clause” should not deter us from analyzed the serialized construction as a complex predicate.</w:t>
      </w:r>
      <w:r w:rsidR="007F62C7">
        <w:rPr>
          <w:rFonts w:cs="Times New Roman"/>
          <w:color w:val="000000"/>
        </w:rPr>
        <w:t xml:space="preserve"> This is my preferred choice; you made a different choice, so please give the reason for your choice.</w:t>
      </w:r>
    </w:p>
    <w:p w14:paraId="688B2796" w14:textId="77777777" w:rsidR="006964F2" w:rsidRDefault="006964F2" w:rsidP="00EA633C">
      <w:pPr>
        <w:widowControl w:val="0"/>
        <w:autoSpaceDE w:val="0"/>
        <w:autoSpaceDN w:val="0"/>
        <w:adjustRightInd w:val="0"/>
        <w:spacing w:after="240"/>
        <w:contextualSpacing/>
        <w:rPr>
          <w:rFonts w:cs="Times New Roman"/>
          <w:color w:val="000000"/>
        </w:rPr>
      </w:pPr>
    </w:p>
    <w:p w14:paraId="3D7A9822" w14:textId="2FC98B12" w:rsidR="006964F2" w:rsidRDefault="00887EEE" w:rsidP="00EA633C">
      <w:pPr>
        <w:widowControl w:val="0"/>
        <w:autoSpaceDE w:val="0"/>
        <w:autoSpaceDN w:val="0"/>
        <w:adjustRightInd w:val="0"/>
        <w:spacing w:after="240"/>
        <w:contextualSpacing/>
        <w:rPr>
          <w:rFonts w:cs="Times New Roman"/>
          <w:color w:val="000000"/>
        </w:rPr>
      </w:pPr>
      <w:r>
        <w:rPr>
          <w:rFonts w:cs="Times New Roman"/>
          <w:i/>
          <w:color w:val="000000"/>
        </w:rPr>
        <w:t xml:space="preserve">Nominalizers: </w:t>
      </w:r>
      <w:r w:rsidR="006964F2">
        <w:rPr>
          <w:rFonts w:cs="Times New Roman"/>
          <w:color w:val="000000"/>
        </w:rPr>
        <w:t>Nakayama describes the</w:t>
      </w:r>
      <w:r w:rsidR="00AC6963">
        <w:rPr>
          <w:rFonts w:cs="Times New Roman"/>
          <w:color w:val="000000"/>
        </w:rPr>
        <w:t xml:space="preserve"> Definite suffix as a nominalizer (2001:41), and</w:t>
      </w:r>
      <w:r w:rsidR="006964F2">
        <w:rPr>
          <w:rFonts w:cs="Times New Roman"/>
          <w:color w:val="000000"/>
        </w:rPr>
        <w:t xml:space="preserve"> Relative and Indefinite Relative suffixes</w:t>
      </w:r>
      <w:r w:rsidR="00BE48F3">
        <w:rPr>
          <w:rFonts w:cs="Times New Roman"/>
          <w:color w:val="000000"/>
        </w:rPr>
        <w:t xml:space="preserve"> as nominalizers (2001:36-37). H</w:t>
      </w:r>
      <w:r w:rsidR="006964F2">
        <w:rPr>
          <w:rFonts w:cs="Times New Roman"/>
          <w:color w:val="000000"/>
        </w:rPr>
        <w:t>ence it appears they should be treated as overt coding of the reference function and</w:t>
      </w:r>
      <w:r w:rsidR="00AC6963">
        <w:rPr>
          <w:rFonts w:cs="Times New Roman"/>
          <w:color w:val="000000"/>
        </w:rPr>
        <w:t xml:space="preserve"> any root/stem combined with them should be</w:t>
      </w:r>
      <w:r w:rsidR="006964F2">
        <w:rPr>
          <w:rFonts w:cs="Times New Roman"/>
          <w:color w:val="000000"/>
        </w:rPr>
        <w:t xml:space="preserve"> excluded from coding.</w:t>
      </w:r>
    </w:p>
    <w:p w14:paraId="3997C1C0" w14:textId="77777777" w:rsidR="00BE48F3" w:rsidRDefault="00BE48F3" w:rsidP="00BE48F3">
      <w:pPr>
        <w:widowControl w:val="0"/>
        <w:autoSpaceDE w:val="0"/>
        <w:autoSpaceDN w:val="0"/>
        <w:adjustRightInd w:val="0"/>
        <w:spacing w:after="240"/>
        <w:contextualSpacing/>
        <w:rPr>
          <w:rFonts w:cs="Times New Roman"/>
          <w:color w:val="000000"/>
        </w:rPr>
      </w:pPr>
    </w:p>
    <w:p w14:paraId="0DF0BCD1" w14:textId="6E911963" w:rsidR="00BE48F3" w:rsidRDefault="00BE48F3" w:rsidP="00BE48F3">
      <w:pPr>
        <w:widowControl w:val="0"/>
        <w:autoSpaceDE w:val="0"/>
        <w:autoSpaceDN w:val="0"/>
        <w:adjustRightInd w:val="0"/>
        <w:spacing w:after="240"/>
        <w:contextualSpacing/>
        <w:rPr>
          <w:rFonts w:cs="Times New Roman"/>
          <w:color w:val="000000"/>
        </w:rPr>
      </w:pPr>
      <w:r>
        <w:rPr>
          <w:rFonts w:cs="Times New Roman"/>
          <w:color w:val="000000"/>
        </w:rPr>
        <w:t xml:space="preserve">A last general question: why are ‘ “adverbials” (that is, predicate modifiers)’ (p. 111) coded in Nuuchahnulth (as </w:t>
      </w:r>
      <w:r w:rsidRPr="00260E42">
        <w:rPr>
          <w:rFonts w:cs="Times New Roman"/>
          <w:smallCaps/>
          <w:color w:val="000000"/>
        </w:rPr>
        <w:t>pred</w:t>
      </w:r>
      <w:r>
        <w:rPr>
          <w:rFonts w:cs="Times New Roman"/>
          <w:color w:val="000000"/>
        </w:rPr>
        <w:t>), but excluded in English (p. 103)? Please add a sentence explaining your decision.</w:t>
      </w:r>
    </w:p>
    <w:p w14:paraId="41088B7E" w14:textId="77777777" w:rsidR="00860678" w:rsidRDefault="00860678" w:rsidP="00EA633C">
      <w:pPr>
        <w:widowControl w:val="0"/>
        <w:autoSpaceDE w:val="0"/>
        <w:autoSpaceDN w:val="0"/>
        <w:adjustRightInd w:val="0"/>
        <w:spacing w:after="240"/>
        <w:contextualSpacing/>
        <w:rPr>
          <w:rFonts w:cs="Times New Roman"/>
          <w:color w:val="000000"/>
        </w:rPr>
      </w:pPr>
    </w:p>
    <w:p w14:paraId="3C320832" w14:textId="6180D73E" w:rsidR="00860678" w:rsidRPr="00433B41" w:rsidRDefault="00433B41" w:rsidP="00EA633C">
      <w:pPr>
        <w:widowControl w:val="0"/>
        <w:autoSpaceDE w:val="0"/>
        <w:autoSpaceDN w:val="0"/>
        <w:adjustRightInd w:val="0"/>
        <w:spacing w:after="240"/>
        <w:contextualSpacing/>
        <w:rPr>
          <w:rFonts w:cs="Times New Roman"/>
          <w:i/>
          <w:color w:val="000000"/>
        </w:rPr>
      </w:pPr>
      <w:r>
        <w:rPr>
          <w:rFonts w:cs="Times New Roman"/>
          <w:i/>
          <w:color w:val="000000"/>
        </w:rPr>
        <w:t>Nuuchahnulth</w:t>
      </w:r>
      <w:r w:rsidR="00723C88">
        <w:rPr>
          <w:rFonts w:cs="Times New Roman"/>
          <w:i/>
          <w:color w:val="000000"/>
        </w:rPr>
        <w:t xml:space="preserve"> </w:t>
      </w:r>
      <w:r>
        <w:rPr>
          <w:rFonts w:cs="Times New Roman"/>
          <w:i/>
          <w:color w:val="000000"/>
        </w:rPr>
        <w:t>sample</w:t>
      </w:r>
      <w:r w:rsidR="00723C88">
        <w:rPr>
          <w:rFonts w:cs="Times New Roman"/>
          <w:i/>
          <w:color w:val="000000"/>
        </w:rPr>
        <w:t xml:space="preserve"> (comments below </w:t>
      </w:r>
      <w:r w:rsidR="00C130B6">
        <w:rPr>
          <w:rFonts w:cs="Times New Roman"/>
          <w:i/>
          <w:color w:val="000000"/>
        </w:rPr>
        <w:t xml:space="preserve">mostly </w:t>
      </w:r>
      <w:r w:rsidR="00723C88">
        <w:rPr>
          <w:rFonts w:cs="Times New Roman"/>
          <w:i/>
          <w:color w:val="000000"/>
        </w:rPr>
        <w:t>based on general comments above)</w:t>
      </w:r>
    </w:p>
    <w:p w14:paraId="17128244" w14:textId="77777777" w:rsidR="008E68C7" w:rsidRDefault="008E68C7" w:rsidP="00EA633C">
      <w:pPr>
        <w:widowControl w:val="0"/>
        <w:autoSpaceDE w:val="0"/>
        <w:autoSpaceDN w:val="0"/>
        <w:adjustRightInd w:val="0"/>
        <w:spacing w:after="240"/>
        <w:contextualSpacing/>
        <w:rPr>
          <w:rFonts w:cs="Times New Roman"/>
          <w:b/>
          <w:color w:val="000000"/>
        </w:rPr>
      </w:pPr>
    </w:p>
    <w:p w14:paraId="0C4A8107" w14:textId="2144A124" w:rsidR="000C5258" w:rsidRDefault="000C5258" w:rsidP="00EA633C">
      <w:pPr>
        <w:widowControl w:val="0"/>
        <w:autoSpaceDE w:val="0"/>
        <w:autoSpaceDN w:val="0"/>
        <w:adjustRightInd w:val="0"/>
        <w:spacing w:after="240"/>
        <w:contextualSpacing/>
        <w:rPr>
          <w:rFonts w:cs="Times New Roman"/>
          <w:i/>
          <w:color w:val="000000"/>
        </w:rPr>
      </w:pPr>
      <w:r w:rsidRPr="000C5258">
        <w:rPr>
          <w:rFonts w:cs="Times New Roman"/>
          <w:i/>
          <w:color w:val="000000"/>
        </w:rPr>
        <w:t>p. 114</w:t>
      </w:r>
    </w:p>
    <w:p w14:paraId="60E6B360" w14:textId="27E35595" w:rsidR="000C5258" w:rsidRDefault="000C5258" w:rsidP="00EA633C">
      <w:pPr>
        <w:widowControl w:val="0"/>
        <w:autoSpaceDE w:val="0"/>
        <w:autoSpaceDN w:val="0"/>
        <w:adjustRightInd w:val="0"/>
        <w:spacing w:after="240"/>
        <w:contextualSpacing/>
        <w:rPr>
          <w:rFonts w:cs="Times New Roman"/>
          <w:color w:val="000000"/>
        </w:rPr>
      </w:pPr>
      <w:r>
        <w:rPr>
          <w:rFonts w:cs="Times New Roman"/>
          <w:i/>
          <w:color w:val="000000"/>
        </w:rPr>
        <w:t>(i)</w:t>
      </w:r>
      <w:r>
        <w:rPr>
          <w:rFonts w:cs="Times New Roman"/>
          <w:color w:val="000000"/>
        </w:rPr>
        <w:t xml:space="preserve"> </w:t>
      </w:r>
      <w:r w:rsidR="00BE48F3">
        <w:rPr>
          <w:rFonts w:cs="Times New Roman"/>
          <w:color w:val="000000"/>
        </w:rPr>
        <w:t>[</w:t>
      </w:r>
      <w:r>
        <w:rPr>
          <w:rFonts w:cs="Times New Roman"/>
          <w:color w:val="000000"/>
        </w:rPr>
        <w:t>time-done-</w:t>
      </w:r>
      <w:r w:rsidRPr="000C5258">
        <w:rPr>
          <w:rFonts w:cs="Times New Roman"/>
          <w:smallCaps/>
          <w:color w:val="000000"/>
        </w:rPr>
        <w:t>rel</w:t>
      </w:r>
      <w:r>
        <w:rPr>
          <w:rFonts w:cs="Times New Roman"/>
          <w:color w:val="000000"/>
        </w:rPr>
        <w:t>.3</w:t>
      </w:r>
      <w:r w:rsidR="00BE48F3">
        <w:rPr>
          <w:rFonts w:cs="Times New Roman"/>
          <w:color w:val="000000"/>
        </w:rPr>
        <w:t>]</w:t>
      </w:r>
      <w:r>
        <w:rPr>
          <w:rFonts w:cs="Times New Roman"/>
          <w:color w:val="000000"/>
        </w:rPr>
        <w:t xml:space="preserve"> ‘when.it.occured’ : overtly coded referring phrase, </w:t>
      </w:r>
      <w:r w:rsidR="008E68C7">
        <w:rPr>
          <w:rFonts w:cs="Times New Roman"/>
          <w:color w:val="000000"/>
        </w:rPr>
        <w:t xml:space="preserve">so </w:t>
      </w:r>
      <w:r>
        <w:rPr>
          <w:rFonts w:cs="Times New Roman"/>
          <w:color w:val="000000"/>
        </w:rPr>
        <w:t>exclude</w:t>
      </w:r>
    </w:p>
    <w:p w14:paraId="7440ED67" w14:textId="36B39FC0" w:rsidR="000C5258" w:rsidRDefault="000C5258" w:rsidP="00EA633C">
      <w:pPr>
        <w:widowControl w:val="0"/>
        <w:autoSpaceDE w:val="0"/>
        <w:autoSpaceDN w:val="0"/>
        <w:adjustRightInd w:val="0"/>
        <w:spacing w:after="240"/>
        <w:contextualSpacing/>
        <w:rPr>
          <w:rFonts w:cs="Times New Roman"/>
          <w:color w:val="000000"/>
        </w:rPr>
      </w:pPr>
      <w:r>
        <w:rPr>
          <w:rFonts w:cs="Times New Roman"/>
          <w:i/>
          <w:color w:val="000000"/>
        </w:rPr>
        <w:t xml:space="preserve">(ii) </w:t>
      </w:r>
      <w:r w:rsidR="00BE48F3">
        <w:rPr>
          <w:rFonts w:cs="Times New Roman"/>
          <w:color w:val="000000"/>
        </w:rPr>
        <w:t>[sailing-into.a.bay sailing-</w:t>
      </w:r>
      <w:r w:rsidR="00BE48F3" w:rsidRPr="00BE48F3">
        <w:rPr>
          <w:rFonts w:cs="Times New Roman"/>
          <w:smallCaps/>
          <w:color w:val="000000"/>
        </w:rPr>
        <w:t>cont</w:t>
      </w:r>
      <w:r w:rsidR="00BE48F3">
        <w:rPr>
          <w:rFonts w:cs="Times New Roman"/>
          <w:color w:val="000000"/>
        </w:rPr>
        <w:t xml:space="preserve"> there.</w:t>
      </w:r>
      <w:r w:rsidR="00BE48F3" w:rsidRPr="00BE48F3">
        <w:rPr>
          <w:rFonts w:cs="Times New Roman"/>
          <w:smallCaps/>
          <w:color w:val="000000"/>
        </w:rPr>
        <w:t>mom</w:t>
      </w:r>
      <w:r w:rsidR="00BE48F3">
        <w:rPr>
          <w:rFonts w:cs="Times New Roman"/>
          <w:color w:val="000000"/>
        </w:rPr>
        <w:t xml:space="preserve">-into.a.bay] ‘sailed into [the] bay of’ </w:t>
      </w:r>
      <w:r>
        <w:rPr>
          <w:rFonts w:cs="Times New Roman"/>
          <w:color w:val="000000"/>
        </w:rPr>
        <w:t xml:space="preserve">looks like serialization, so just one </w:t>
      </w:r>
      <w:r w:rsidRPr="000C5258">
        <w:rPr>
          <w:rFonts w:cs="Times New Roman"/>
          <w:smallCaps/>
          <w:color w:val="000000"/>
        </w:rPr>
        <w:t>pred</w:t>
      </w:r>
      <w:r>
        <w:rPr>
          <w:rFonts w:cs="Times New Roman"/>
          <w:color w:val="000000"/>
        </w:rPr>
        <w:t>?</w:t>
      </w:r>
    </w:p>
    <w:p w14:paraId="2D8AC7DC" w14:textId="0365625D" w:rsidR="000C5258" w:rsidRDefault="000C5258" w:rsidP="00EA633C">
      <w:pPr>
        <w:widowControl w:val="0"/>
        <w:autoSpaceDE w:val="0"/>
        <w:autoSpaceDN w:val="0"/>
        <w:adjustRightInd w:val="0"/>
        <w:spacing w:after="240"/>
        <w:contextualSpacing/>
        <w:rPr>
          <w:rFonts w:cs="Times New Roman"/>
          <w:color w:val="000000"/>
        </w:rPr>
      </w:pPr>
      <w:r>
        <w:rPr>
          <w:rFonts w:cs="Times New Roman"/>
          <w:i/>
          <w:color w:val="000000"/>
        </w:rPr>
        <w:t xml:space="preserve">(iii) </w:t>
      </w:r>
      <w:r>
        <w:rPr>
          <w:rFonts w:cs="Times New Roman"/>
          <w:color w:val="000000"/>
        </w:rPr>
        <w:t>OK</w:t>
      </w:r>
    </w:p>
    <w:p w14:paraId="747D3BA0" w14:textId="4039C509" w:rsidR="000C5258" w:rsidRDefault="000C5258" w:rsidP="00EA633C">
      <w:pPr>
        <w:widowControl w:val="0"/>
        <w:autoSpaceDE w:val="0"/>
        <w:autoSpaceDN w:val="0"/>
        <w:adjustRightInd w:val="0"/>
        <w:spacing w:after="240"/>
        <w:contextualSpacing/>
        <w:rPr>
          <w:rFonts w:cs="Times New Roman"/>
          <w:color w:val="000000"/>
        </w:rPr>
      </w:pPr>
      <w:r>
        <w:rPr>
          <w:rFonts w:cs="Times New Roman"/>
          <w:i/>
          <w:color w:val="000000"/>
        </w:rPr>
        <w:t xml:space="preserve">(iv) </w:t>
      </w:r>
      <w:r w:rsidR="00BE48F3">
        <w:rPr>
          <w:rFonts w:cs="Times New Roman"/>
          <w:color w:val="000000"/>
        </w:rPr>
        <w:t>[</w:t>
      </w:r>
      <w:r>
        <w:rPr>
          <w:rFonts w:cs="Times New Roman"/>
          <w:color w:val="000000"/>
        </w:rPr>
        <w:t>when-</w:t>
      </w:r>
      <w:r w:rsidRPr="000C5258">
        <w:rPr>
          <w:rFonts w:cs="Times New Roman"/>
          <w:smallCaps/>
          <w:color w:val="000000"/>
        </w:rPr>
        <w:t>past-indef</w:t>
      </w:r>
      <w:r>
        <w:rPr>
          <w:rFonts w:cs="Times New Roman"/>
          <w:color w:val="000000"/>
        </w:rPr>
        <w:t>.3</w:t>
      </w:r>
      <w:r w:rsidR="00BE48F3">
        <w:rPr>
          <w:rFonts w:cs="Times New Roman"/>
          <w:color w:val="000000"/>
        </w:rPr>
        <w:t>]</w:t>
      </w:r>
      <w:r>
        <w:rPr>
          <w:rFonts w:cs="Times New Roman"/>
          <w:color w:val="000000"/>
        </w:rPr>
        <w:t xml:space="preserve"> ‘whenever.it.was’ : overtly coded referring phrase, </w:t>
      </w:r>
      <w:r w:rsidR="008E68C7">
        <w:rPr>
          <w:rFonts w:cs="Times New Roman"/>
          <w:color w:val="000000"/>
        </w:rPr>
        <w:t xml:space="preserve">so </w:t>
      </w:r>
      <w:r>
        <w:rPr>
          <w:rFonts w:cs="Times New Roman"/>
          <w:color w:val="000000"/>
        </w:rPr>
        <w:t>exclude</w:t>
      </w:r>
    </w:p>
    <w:p w14:paraId="3C3A6BC2" w14:textId="3F9CB247" w:rsidR="000C5258" w:rsidRDefault="000C5258" w:rsidP="00EA633C">
      <w:pPr>
        <w:widowControl w:val="0"/>
        <w:autoSpaceDE w:val="0"/>
        <w:autoSpaceDN w:val="0"/>
        <w:adjustRightInd w:val="0"/>
        <w:spacing w:after="240"/>
        <w:contextualSpacing/>
        <w:rPr>
          <w:rFonts w:cs="Times New Roman"/>
          <w:color w:val="000000"/>
        </w:rPr>
      </w:pPr>
      <w:r>
        <w:rPr>
          <w:rFonts w:cs="Times New Roman"/>
          <w:i/>
          <w:color w:val="000000"/>
        </w:rPr>
        <w:t xml:space="preserve">(v) </w:t>
      </w:r>
      <w:r>
        <w:rPr>
          <w:rFonts w:cs="Times New Roman"/>
          <w:color w:val="000000"/>
        </w:rPr>
        <w:t xml:space="preserve">looks like serialization, so just one </w:t>
      </w:r>
      <w:r w:rsidRPr="000C5258">
        <w:rPr>
          <w:rFonts w:cs="Times New Roman"/>
          <w:smallCaps/>
          <w:color w:val="000000"/>
        </w:rPr>
        <w:t>pred</w:t>
      </w:r>
      <w:r>
        <w:rPr>
          <w:rFonts w:cs="Times New Roman"/>
          <w:color w:val="000000"/>
        </w:rPr>
        <w:t>?</w:t>
      </w:r>
    </w:p>
    <w:p w14:paraId="79702AED" w14:textId="77777777" w:rsidR="000C5258" w:rsidRDefault="000C5258" w:rsidP="00EA633C">
      <w:pPr>
        <w:widowControl w:val="0"/>
        <w:autoSpaceDE w:val="0"/>
        <w:autoSpaceDN w:val="0"/>
        <w:adjustRightInd w:val="0"/>
        <w:spacing w:after="240"/>
        <w:contextualSpacing/>
        <w:rPr>
          <w:rFonts w:cs="Times New Roman"/>
          <w:color w:val="000000"/>
        </w:rPr>
      </w:pPr>
    </w:p>
    <w:p w14:paraId="5F2BBDD5" w14:textId="27FE1A6E" w:rsidR="000C5258" w:rsidRDefault="000C5258" w:rsidP="00EA633C">
      <w:pPr>
        <w:widowControl w:val="0"/>
        <w:autoSpaceDE w:val="0"/>
        <w:autoSpaceDN w:val="0"/>
        <w:adjustRightInd w:val="0"/>
        <w:spacing w:after="240"/>
        <w:contextualSpacing/>
        <w:rPr>
          <w:rFonts w:cs="Times New Roman"/>
          <w:i/>
          <w:color w:val="000000"/>
        </w:rPr>
      </w:pPr>
      <w:r>
        <w:rPr>
          <w:rFonts w:cs="Times New Roman"/>
          <w:i/>
          <w:color w:val="000000"/>
        </w:rPr>
        <w:t>p. 115</w:t>
      </w:r>
    </w:p>
    <w:p w14:paraId="2C1E7869" w14:textId="0BF73C9A" w:rsidR="000C5258" w:rsidRDefault="000C5258" w:rsidP="00EA633C">
      <w:pPr>
        <w:widowControl w:val="0"/>
        <w:autoSpaceDE w:val="0"/>
        <w:autoSpaceDN w:val="0"/>
        <w:adjustRightInd w:val="0"/>
        <w:spacing w:after="240"/>
        <w:contextualSpacing/>
        <w:rPr>
          <w:rFonts w:cs="Times New Roman"/>
          <w:color w:val="000000"/>
        </w:rPr>
      </w:pPr>
      <w:r>
        <w:rPr>
          <w:rFonts w:cs="Times New Roman"/>
          <w:i/>
          <w:color w:val="000000"/>
        </w:rPr>
        <w:t xml:space="preserve">(i) </w:t>
      </w:r>
      <w:r>
        <w:rPr>
          <w:rFonts w:cs="Times New Roman"/>
          <w:color w:val="000000"/>
        </w:rPr>
        <w:t>OK</w:t>
      </w:r>
    </w:p>
    <w:p w14:paraId="3193BE45" w14:textId="50C65D8A" w:rsidR="000C5258" w:rsidRDefault="000C5258" w:rsidP="00EA633C">
      <w:pPr>
        <w:widowControl w:val="0"/>
        <w:autoSpaceDE w:val="0"/>
        <w:autoSpaceDN w:val="0"/>
        <w:adjustRightInd w:val="0"/>
        <w:spacing w:after="240"/>
        <w:contextualSpacing/>
        <w:rPr>
          <w:rFonts w:cs="Times New Roman"/>
          <w:color w:val="000000"/>
        </w:rPr>
      </w:pPr>
      <w:r>
        <w:rPr>
          <w:rFonts w:cs="Times New Roman"/>
          <w:i/>
          <w:color w:val="000000"/>
        </w:rPr>
        <w:t xml:space="preserve">(ii) </w:t>
      </w:r>
      <w:r>
        <w:rPr>
          <w:rFonts w:cs="Times New Roman"/>
          <w:color w:val="000000"/>
        </w:rPr>
        <w:t>OK</w:t>
      </w:r>
    </w:p>
    <w:p w14:paraId="240446A5" w14:textId="77777777" w:rsidR="00BE48F3" w:rsidRDefault="000C5258" w:rsidP="00EA633C">
      <w:pPr>
        <w:widowControl w:val="0"/>
        <w:autoSpaceDE w:val="0"/>
        <w:autoSpaceDN w:val="0"/>
        <w:adjustRightInd w:val="0"/>
        <w:spacing w:after="240"/>
        <w:contextualSpacing/>
        <w:rPr>
          <w:rFonts w:cs="Times New Roman"/>
          <w:color w:val="000000"/>
        </w:rPr>
      </w:pPr>
      <w:r>
        <w:rPr>
          <w:rFonts w:cs="Times New Roman"/>
          <w:i/>
          <w:color w:val="000000"/>
        </w:rPr>
        <w:t xml:space="preserve">(iii) </w:t>
      </w:r>
      <w:r>
        <w:rPr>
          <w:rFonts w:cs="Times New Roman"/>
          <w:color w:val="000000"/>
        </w:rPr>
        <w:t>not - grammatical element, exclude</w:t>
      </w:r>
      <w:r w:rsidR="00BE48F3">
        <w:rPr>
          <w:rFonts w:cs="Times New Roman"/>
          <w:color w:val="000000"/>
        </w:rPr>
        <w:t xml:space="preserve"> (we discussed this at length; please briefly give your justification for including it in Nuuchahnulth but not in English)</w:t>
      </w:r>
      <w:r>
        <w:rPr>
          <w:rFonts w:cs="Times New Roman"/>
          <w:color w:val="000000"/>
        </w:rPr>
        <w:t xml:space="preserve">; </w:t>
      </w:r>
    </w:p>
    <w:p w14:paraId="7A7760B8" w14:textId="5316DCC4" w:rsidR="000C5258" w:rsidRDefault="00BE48F3" w:rsidP="00EA633C">
      <w:pPr>
        <w:widowControl w:val="0"/>
        <w:autoSpaceDE w:val="0"/>
        <w:autoSpaceDN w:val="0"/>
        <w:adjustRightInd w:val="0"/>
        <w:spacing w:after="240"/>
        <w:contextualSpacing/>
        <w:rPr>
          <w:rFonts w:cs="Times New Roman"/>
          <w:color w:val="000000"/>
        </w:rPr>
      </w:pPr>
      <w:r>
        <w:rPr>
          <w:rFonts w:cs="Times New Roman"/>
          <w:color w:val="000000"/>
        </w:rPr>
        <w:t>[</w:t>
      </w:r>
      <w:r w:rsidR="000C5258">
        <w:rPr>
          <w:rFonts w:cs="Times New Roman"/>
          <w:color w:val="000000"/>
        </w:rPr>
        <w:t>large not-done large</w:t>
      </w:r>
      <w:r>
        <w:rPr>
          <w:rFonts w:cs="Times New Roman"/>
          <w:color w:val="000000"/>
        </w:rPr>
        <w:t>]</w:t>
      </w:r>
      <w:r w:rsidR="000C5258">
        <w:rPr>
          <w:rFonts w:cs="Times New Roman"/>
          <w:color w:val="000000"/>
        </w:rPr>
        <w:t xml:space="preserve"> - looks like serialization, so just one </w:t>
      </w:r>
      <w:r w:rsidR="000C5258" w:rsidRPr="000C5258">
        <w:rPr>
          <w:rFonts w:cs="Times New Roman"/>
          <w:smallCaps/>
          <w:color w:val="000000"/>
        </w:rPr>
        <w:t>pred</w:t>
      </w:r>
      <w:r w:rsidR="000C5258">
        <w:rPr>
          <w:rFonts w:cs="Times New Roman"/>
          <w:color w:val="000000"/>
        </w:rPr>
        <w:t>?</w:t>
      </w:r>
    </w:p>
    <w:p w14:paraId="25A69817" w14:textId="02FA38E1" w:rsidR="000C5258" w:rsidRDefault="000C5258" w:rsidP="00EA633C">
      <w:pPr>
        <w:widowControl w:val="0"/>
        <w:autoSpaceDE w:val="0"/>
        <w:autoSpaceDN w:val="0"/>
        <w:adjustRightInd w:val="0"/>
        <w:spacing w:after="240"/>
        <w:contextualSpacing/>
        <w:rPr>
          <w:rFonts w:cs="Times New Roman"/>
          <w:color w:val="000000"/>
        </w:rPr>
      </w:pPr>
      <w:r>
        <w:rPr>
          <w:rFonts w:cs="Times New Roman"/>
          <w:i/>
          <w:color w:val="000000"/>
        </w:rPr>
        <w:t xml:space="preserve">(iv) </w:t>
      </w:r>
      <w:r>
        <w:rPr>
          <w:rFonts w:cs="Times New Roman"/>
          <w:color w:val="000000"/>
        </w:rPr>
        <w:t>OK</w:t>
      </w:r>
    </w:p>
    <w:p w14:paraId="4EF75EBC" w14:textId="4B82C631" w:rsidR="000C5258" w:rsidRDefault="000C5258" w:rsidP="00EA633C">
      <w:pPr>
        <w:widowControl w:val="0"/>
        <w:autoSpaceDE w:val="0"/>
        <w:autoSpaceDN w:val="0"/>
        <w:adjustRightInd w:val="0"/>
        <w:spacing w:after="240"/>
        <w:contextualSpacing/>
        <w:rPr>
          <w:rFonts w:cs="Times New Roman"/>
          <w:color w:val="000000"/>
        </w:rPr>
      </w:pPr>
      <w:r>
        <w:rPr>
          <w:rFonts w:cs="Times New Roman"/>
          <w:i/>
          <w:color w:val="000000"/>
        </w:rPr>
        <w:t xml:space="preserve">(v) </w:t>
      </w:r>
      <w:r>
        <w:rPr>
          <w:rFonts w:cs="Times New Roman"/>
          <w:color w:val="000000"/>
        </w:rPr>
        <w:t>OK</w:t>
      </w:r>
    </w:p>
    <w:p w14:paraId="3A28D511" w14:textId="77777777" w:rsidR="000C5258" w:rsidRDefault="000C5258" w:rsidP="00EA633C">
      <w:pPr>
        <w:widowControl w:val="0"/>
        <w:autoSpaceDE w:val="0"/>
        <w:autoSpaceDN w:val="0"/>
        <w:adjustRightInd w:val="0"/>
        <w:spacing w:after="240"/>
        <w:contextualSpacing/>
        <w:rPr>
          <w:rFonts w:cs="Times New Roman"/>
          <w:color w:val="000000"/>
        </w:rPr>
      </w:pPr>
    </w:p>
    <w:p w14:paraId="72FA178B" w14:textId="0F3ACC9A" w:rsidR="000C5258" w:rsidRDefault="000C5258" w:rsidP="00EA633C">
      <w:pPr>
        <w:widowControl w:val="0"/>
        <w:autoSpaceDE w:val="0"/>
        <w:autoSpaceDN w:val="0"/>
        <w:adjustRightInd w:val="0"/>
        <w:spacing w:after="240"/>
        <w:contextualSpacing/>
        <w:rPr>
          <w:rFonts w:cs="Times New Roman"/>
          <w:i/>
          <w:color w:val="000000"/>
        </w:rPr>
      </w:pPr>
      <w:r>
        <w:rPr>
          <w:rFonts w:cs="Times New Roman"/>
          <w:i/>
          <w:color w:val="000000"/>
        </w:rPr>
        <w:t>p. 116</w:t>
      </w:r>
    </w:p>
    <w:p w14:paraId="6999C056" w14:textId="77777777" w:rsidR="00BE48F3" w:rsidRDefault="000C5258" w:rsidP="00EA633C">
      <w:pPr>
        <w:widowControl w:val="0"/>
        <w:autoSpaceDE w:val="0"/>
        <w:autoSpaceDN w:val="0"/>
        <w:adjustRightInd w:val="0"/>
        <w:spacing w:after="240"/>
        <w:contextualSpacing/>
        <w:rPr>
          <w:rFonts w:cs="Times New Roman"/>
          <w:color w:val="000000"/>
        </w:rPr>
      </w:pPr>
      <w:r>
        <w:rPr>
          <w:rFonts w:cs="Times New Roman"/>
          <w:i/>
          <w:color w:val="000000"/>
        </w:rPr>
        <w:t xml:space="preserve">(i) </w:t>
      </w:r>
      <w:r w:rsidR="00BE48F3">
        <w:rPr>
          <w:rFonts w:cs="Times New Roman"/>
          <w:color w:val="000000"/>
        </w:rPr>
        <w:t>[</w:t>
      </w:r>
      <w:r>
        <w:rPr>
          <w:rFonts w:cs="Times New Roman"/>
          <w:color w:val="000000"/>
        </w:rPr>
        <w:t>??-done-</w:t>
      </w:r>
      <w:r w:rsidRPr="00BE48F3">
        <w:rPr>
          <w:rFonts w:cs="Times New Roman"/>
          <w:smallCaps/>
          <w:color w:val="000000"/>
        </w:rPr>
        <w:t>rel3-pl</w:t>
      </w:r>
      <w:r w:rsidR="00BE48F3">
        <w:rPr>
          <w:rFonts w:cs="Times New Roman"/>
          <w:color w:val="000000"/>
        </w:rPr>
        <w:t>]</w:t>
      </w:r>
      <w:r>
        <w:rPr>
          <w:rFonts w:cs="Times New Roman"/>
          <w:color w:val="000000"/>
        </w:rPr>
        <w:t xml:space="preserve"> ‘the way they spoke’ : overtly coded referring phrase, exclude; </w:t>
      </w:r>
    </w:p>
    <w:p w14:paraId="5EB8FB47" w14:textId="22E3ED6C" w:rsidR="00BE48F3" w:rsidRDefault="008E68C7" w:rsidP="00EA633C">
      <w:pPr>
        <w:widowControl w:val="0"/>
        <w:autoSpaceDE w:val="0"/>
        <w:autoSpaceDN w:val="0"/>
        <w:adjustRightInd w:val="0"/>
        <w:spacing w:after="240"/>
        <w:contextualSpacing/>
        <w:rPr>
          <w:rFonts w:cs="Times New Roman"/>
          <w:color w:val="000000"/>
        </w:rPr>
      </w:pPr>
      <w:r>
        <w:rPr>
          <w:rFonts w:cs="Times New Roman"/>
          <w:color w:val="000000"/>
        </w:rPr>
        <w:t xml:space="preserve">why is </w:t>
      </w:r>
      <w:r w:rsidR="00BE48F3">
        <w:rPr>
          <w:rFonts w:cs="Times New Roman"/>
          <w:color w:val="000000"/>
        </w:rPr>
        <w:t>[</w:t>
      </w:r>
      <w:r>
        <w:rPr>
          <w:rFonts w:cs="Times New Roman"/>
          <w:color w:val="000000"/>
        </w:rPr>
        <w:t>from</w:t>
      </w:r>
      <w:r w:rsidR="00BE48F3">
        <w:rPr>
          <w:rFonts w:cs="Times New Roman"/>
          <w:color w:val="000000"/>
        </w:rPr>
        <w:t>]</w:t>
      </w:r>
      <w:r>
        <w:rPr>
          <w:rFonts w:cs="Times New Roman"/>
          <w:color w:val="000000"/>
        </w:rPr>
        <w:t xml:space="preserve"> a </w:t>
      </w:r>
      <w:r w:rsidRPr="008E68C7">
        <w:rPr>
          <w:rFonts w:cs="Times New Roman"/>
          <w:smallCaps/>
          <w:color w:val="000000"/>
        </w:rPr>
        <w:t>pred</w:t>
      </w:r>
      <w:r w:rsidR="00BE48F3">
        <w:rPr>
          <w:rFonts w:cs="Times New Roman"/>
          <w:color w:val="000000"/>
        </w:rPr>
        <w:t>?;</w:t>
      </w:r>
    </w:p>
    <w:p w14:paraId="7F663637" w14:textId="3FB53D89" w:rsidR="000C5258" w:rsidRDefault="000C5258" w:rsidP="00EA633C">
      <w:pPr>
        <w:widowControl w:val="0"/>
        <w:autoSpaceDE w:val="0"/>
        <w:autoSpaceDN w:val="0"/>
        <w:adjustRightInd w:val="0"/>
        <w:spacing w:after="240"/>
        <w:contextualSpacing/>
        <w:rPr>
          <w:rFonts w:cs="Times New Roman"/>
          <w:color w:val="000000"/>
        </w:rPr>
      </w:pPr>
      <w:r>
        <w:rPr>
          <w:rFonts w:cs="Times New Roman"/>
          <w:color w:val="000000"/>
        </w:rPr>
        <w:t xml:space="preserve">why isn’t </w:t>
      </w:r>
      <w:r w:rsidR="00BE48F3">
        <w:rPr>
          <w:rFonts w:cs="Times New Roman"/>
          <w:color w:val="000000"/>
        </w:rPr>
        <w:t>[</w:t>
      </w:r>
      <w:r>
        <w:rPr>
          <w:rFonts w:cs="Times New Roman"/>
          <w:color w:val="000000"/>
        </w:rPr>
        <w:t>Chinook-belonging.to</w:t>
      </w:r>
      <w:r w:rsidR="00BE48F3">
        <w:rPr>
          <w:rFonts w:cs="Times New Roman"/>
          <w:color w:val="000000"/>
        </w:rPr>
        <w:t>]</w:t>
      </w:r>
      <w:r>
        <w:rPr>
          <w:rFonts w:cs="Times New Roman"/>
          <w:color w:val="000000"/>
        </w:rPr>
        <w:t xml:space="preserve"> either a </w:t>
      </w:r>
      <w:r w:rsidRPr="000C5258">
        <w:rPr>
          <w:rFonts w:cs="Times New Roman"/>
          <w:smallCaps/>
          <w:color w:val="000000"/>
        </w:rPr>
        <w:t>mod</w:t>
      </w:r>
      <w:r>
        <w:rPr>
          <w:rFonts w:cs="Times New Roman"/>
          <w:color w:val="000000"/>
        </w:rPr>
        <w:t xml:space="preserve"> or part of a complex </w:t>
      </w:r>
      <w:r w:rsidRPr="000C5258">
        <w:rPr>
          <w:rFonts w:cs="Times New Roman"/>
          <w:smallCaps/>
          <w:color w:val="000000"/>
        </w:rPr>
        <w:t>ref</w:t>
      </w:r>
      <w:r>
        <w:rPr>
          <w:rFonts w:cs="Times New Roman"/>
          <w:color w:val="000000"/>
        </w:rPr>
        <w:t>?</w:t>
      </w:r>
    </w:p>
    <w:p w14:paraId="206C52B8" w14:textId="17F1938C" w:rsidR="008E68C7" w:rsidRDefault="008E68C7" w:rsidP="00EA633C">
      <w:pPr>
        <w:widowControl w:val="0"/>
        <w:autoSpaceDE w:val="0"/>
        <w:autoSpaceDN w:val="0"/>
        <w:adjustRightInd w:val="0"/>
        <w:spacing w:after="240"/>
        <w:contextualSpacing/>
        <w:rPr>
          <w:rFonts w:cs="Times New Roman"/>
          <w:color w:val="000000"/>
        </w:rPr>
      </w:pPr>
      <w:r>
        <w:rPr>
          <w:rFonts w:cs="Times New Roman"/>
          <w:i/>
          <w:color w:val="000000"/>
        </w:rPr>
        <w:lastRenderedPageBreak/>
        <w:t xml:space="preserve">(ii) </w:t>
      </w:r>
      <w:r>
        <w:rPr>
          <w:rFonts w:cs="Times New Roman"/>
          <w:color w:val="000000"/>
        </w:rPr>
        <w:t>OK</w:t>
      </w:r>
    </w:p>
    <w:p w14:paraId="1263C10C" w14:textId="43D7A2A3" w:rsidR="008E68C7" w:rsidRDefault="008E68C7" w:rsidP="00EA633C">
      <w:pPr>
        <w:widowControl w:val="0"/>
        <w:autoSpaceDE w:val="0"/>
        <w:autoSpaceDN w:val="0"/>
        <w:adjustRightInd w:val="0"/>
        <w:spacing w:after="240"/>
        <w:contextualSpacing/>
        <w:rPr>
          <w:rFonts w:cs="Times New Roman"/>
          <w:color w:val="000000"/>
        </w:rPr>
      </w:pPr>
      <w:r>
        <w:rPr>
          <w:rFonts w:cs="Times New Roman"/>
          <w:i/>
          <w:color w:val="000000"/>
        </w:rPr>
        <w:t xml:space="preserve">(iii) </w:t>
      </w:r>
      <w:r>
        <w:rPr>
          <w:rFonts w:cs="Times New Roman"/>
          <w:color w:val="000000"/>
        </w:rPr>
        <w:t>OK</w:t>
      </w:r>
    </w:p>
    <w:p w14:paraId="2B5B66FF" w14:textId="77777777" w:rsidR="00BE48F3" w:rsidRDefault="008E68C7" w:rsidP="00EA633C">
      <w:pPr>
        <w:widowControl w:val="0"/>
        <w:autoSpaceDE w:val="0"/>
        <w:autoSpaceDN w:val="0"/>
        <w:adjustRightInd w:val="0"/>
        <w:spacing w:after="240"/>
        <w:contextualSpacing/>
        <w:rPr>
          <w:rFonts w:cs="Times New Roman"/>
          <w:color w:val="000000"/>
        </w:rPr>
      </w:pPr>
      <w:r>
        <w:rPr>
          <w:rFonts w:cs="Times New Roman"/>
          <w:i/>
          <w:color w:val="000000"/>
        </w:rPr>
        <w:t xml:space="preserve">(iv) </w:t>
      </w:r>
      <w:r w:rsidR="00BE48F3">
        <w:rPr>
          <w:rFonts w:cs="Times New Roman"/>
          <w:color w:val="000000"/>
        </w:rPr>
        <w:t>[</w:t>
      </w:r>
      <w:r>
        <w:rPr>
          <w:rFonts w:cs="Times New Roman"/>
          <w:color w:val="000000"/>
        </w:rPr>
        <w:t>who-first-</w:t>
      </w:r>
      <w:r w:rsidRPr="008E68C7">
        <w:rPr>
          <w:rFonts w:cs="Times New Roman"/>
          <w:smallCaps/>
          <w:color w:val="000000"/>
        </w:rPr>
        <w:t>indef</w:t>
      </w:r>
      <w:r>
        <w:rPr>
          <w:rFonts w:cs="Times New Roman"/>
          <w:color w:val="000000"/>
        </w:rPr>
        <w:t>.3 hear-</w:t>
      </w:r>
      <w:r w:rsidRPr="008E68C7">
        <w:rPr>
          <w:rFonts w:cs="Times New Roman"/>
          <w:smallCaps/>
          <w:color w:val="000000"/>
        </w:rPr>
        <w:t>fin</w:t>
      </w:r>
      <w:r w:rsidR="00BE48F3">
        <w:rPr>
          <w:rFonts w:cs="Times New Roman"/>
          <w:color w:val="000000"/>
        </w:rPr>
        <w:t>]</w:t>
      </w:r>
      <w:r>
        <w:rPr>
          <w:rFonts w:cs="Times New Roman"/>
          <w:color w:val="000000"/>
        </w:rPr>
        <w:t xml:space="preserve"> : looks like serialization, so one unit; overtly coded referring phrase, so exclude; </w:t>
      </w:r>
    </w:p>
    <w:p w14:paraId="4AE16474" w14:textId="2D1D77CF" w:rsidR="008E68C7" w:rsidRPr="008E68C7" w:rsidRDefault="00BE48F3" w:rsidP="00EA633C">
      <w:pPr>
        <w:widowControl w:val="0"/>
        <w:autoSpaceDE w:val="0"/>
        <w:autoSpaceDN w:val="0"/>
        <w:adjustRightInd w:val="0"/>
        <w:spacing w:after="240"/>
        <w:contextualSpacing/>
        <w:rPr>
          <w:rFonts w:cs="Times New Roman"/>
          <w:color w:val="000000"/>
        </w:rPr>
      </w:pPr>
      <w:r>
        <w:rPr>
          <w:rFonts w:cs="Times New Roman"/>
          <w:color w:val="000000"/>
        </w:rPr>
        <w:t>[</w:t>
      </w:r>
      <w:r w:rsidR="008E68C7">
        <w:rPr>
          <w:rFonts w:cs="Times New Roman"/>
          <w:color w:val="000000"/>
        </w:rPr>
        <w:t>who-belonging.to-</w:t>
      </w:r>
      <w:r w:rsidR="008E68C7" w:rsidRPr="008E68C7">
        <w:rPr>
          <w:rFonts w:cs="Times New Roman"/>
          <w:smallCaps/>
          <w:color w:val="000000"/>
        </w:rPr>
        <w:t>rel</w:t>
      </w:r>
      <w:r w:rsidR="008E68C7">
        <w:rPr>
          <w:rFonts w:cs="Times New Roman"/>
          <w:color w:val="000000"/>
        </w:rPr>
        <w:t>.3</w:t>
      </w:r>
      <w:r>
        <w:rPr>
          <w:rFonts w:cs="Times New Roman"/>
          <w:color w:val="000000"/>
        </w:rPr>
        <w:t>]</w:t>
      </w:r>
      <w:r w:rsidR="008E68C7">
        <w:rPr>
          <w:rFonts w:cs="Times New Roman"/>
          <w:color w:val="000000"/>
        </w:rPr>
        <w:t xml:space="preserve"> : overtly coded referring phrase, so exclude</w:t>
      </w:r>
    </w:p>
    <w:p w14:paraId="4D81EC13" w14:textId="77777777" w:rsidR="000C5258" w:rsidRDefault="000C5258" w:rsidP="00EA633C">
      <w:pPr>
        <w:widowControl w:val="0"/>
        <w:autoSpaceDE w:val="0"/>
        <w:autoSpaceDN w:val="0"/>
        <w:adjustRightInd w:val="0"/>
        <w:spacing w:after="240"/>
        <w:contextualSpacing/>
        <w:rPr>
          <w:rFonts w:cs="Times New Roman"/>
          <w:b/>
          <w:color w:val="000000"/>
        </w:rPr>
      </w:pPr>
    </w:p>
    <w:p w14:paraId="4CFDBE37" w14:textId="3A1A05E5" w:rsidR="001008AD" w:rsidRDefault="00356814" w:rsidP="00EA633C">
      <w:pPr>
        <w:widowControl w:val="0"/>
        <w:autoSpaceDE w:val="0"/>
        <w:autoSpaceDN w:val="0"/>
        <w:adjustRightInd w:val="0"/>
        <w:spacing w:after="240"/>
        <w:contextualSpacing/>
        <w:rPr>
          <w:rFonts w:cs="Times New Roman"/>
          <w:color w:val="000000"/>
        </w:rPr>
      </w:pPr>
      <w:r w:rsidRPr="00356814">
        <w:rPr>
          <w:rFonts w:cs="Times New Roman"/>
          <w:color w:val="000000"/>
        </w:rPr>
        <w:t>The com</w:t>
      </w:r>
      <w:r>
        <w:rPr>
          <w:rFonts w:cs="Times New Roman"/>
          <w:color w:val="000000"/>
        </w:rPr>
        <w:t xml:space="preserve">mittee recognizes that technically, one should also justify the choice not to code the remaining words. </w:t>
      </w:r>
      <w:r w:rsidR="00887EEE">
        <w:rPr>
          <w:rFonts w:cs="Times New Roman"/>
          <w:color w:val="000000"/>
        </w:rPr>
        <w:t>It</w:t>
      </w:r>
      <w:r>
        <w:rPr>
          <w:rFonts w:cs="Times New Roman"/>
          <w:color w:val="000000"/>
        </w:rPr>
        <w:t xml:space="preserve"> is not clear how easy that would be, that is, if there are just a few reasons you would need to give, and list the noncoded words after each relevant reason. </w:t>
      </w:r>
      <w:r w:rsidR="00887EEE">
        <w:rPr>
          <w:rFonts w:cs="Times New Roman"/>
          <w:color w:val="000000"/>
        </w:rPr>
        <w:t>However, it is easy enough that I’ve pr</w:t>
      </w:r>
      <w:r w:rsidR="001008AD">
        <w:rPr>
          <w:rFonts w:cs="Times New Roman"/>
          <w:color w:val="000000"/>
        </w:rPr>
        <w:t>etty much done it here for you:</w:t>
      </w:r>
    </w:p>
    <w:p w14:paraId="1CBA3EBB" w14:textId="77777777" w:rsidR="001008AD" w:rsidRDefault="001008AD" w:rsidP="00EA633C">
      <w:pPr>
        <w:widowControl w:val="0"/>
        <w:autoSpaceDE w:val="0"/>
        <w:autoSpaceDN w:val="0"/>
        <w:adjustRightInd w:val="0"/>
        <w:spacing w:after="240"/>
        <w:contextualSpacing/>
        <w:rPr>
          <w:rFonts w:cs="Times New Roman"/>
          <w:color w:val="000000"/>
        </w:rPr>
      </w:pPr>
    </w:p>
    <w:p w14:paraId="58C25E40" w14:textId="77777777" w:rsidR="001008AD" w:rsidRDefault="001008AD" w:rsidP="00EA633C">
      <w:pPr>
        <w:widowControl w:val="0"/>
        <w:autoSpaceDE w:val="0"/>
        <w:autoSpaceDN w:val="0"/>
        <w:adjustRightInd w:val="0"/>
        <w:spacing w:after="240"/>
        <w:contextualSpacing/>
        <w:rPr>
          <w:rFonts w:cs="Times New Roman"/>
          <w:color w:val="000000"/>
        </w:rPr>
      </w:pPr>
      <w:r>
        <w:rPr>
          <w:rFonts w:cs="Times New Roman"/>
          <w:color w:val="000000"/>
        </w:rPr>
        <w:t>–</w:t>
      </w:r>
      <w:r w:rsidR="00356814">
        <w:rPr>
          <w:rFonts w:cs="Times New Roman"/>
          <w:color w:val="000000"/>
        </w:rPr>
        <w:t>For Nuuchahnulth</w:t>
      </w:r>
      <w:r>
        <w:rPr>
          <w:rFonts w:cs="Times New Roman"/>
          <w:color w:val="000000"/>
        </w:rPr>
        <w:t>, hardly any words were not coded, and</w:t>
      </w:r>
      <w:r w:rsidR="00356814">
        <w:rPr>
          <w:rFonts w:cs="Times New Roman"/>
          <w:color w:val="000000"/>
        </w:rPr>
        <w:t xml:space="preserve"> there are only two reasons for noncoded words: they are names, or they were uninterpretable by Nakayama (p. 116, line (i)). </w:t>
      </w:r>
    </w:p>
    <w:p w14:paraId="18EAFFEF" w14:textId="77777777" w:rsidR="001008AD" w:rsidRDefault="001008AD" w:rsidP="00EA633C">
      <w:pPr>
        <w:widowControl w:val="0"/>
        <w:autoSpaceDE w:val="0"/>
        <w:autoSpaceDN w:val="0"/>
        <w:adjustRightInd w:val="0"/>
        <w:spacing w:after="240"/>
        <w:contextualSpacing/>
        <w:rPr>
          <w:rFonts w:cs="Times New Roman"/>
          <w:color w:val="000000"/>
        </w:rPr>
      </w:pPr>
    </w:p>
    <w:p w14:paraId="16EED9CB" w14:textId="0A6943B4" w:rsidR="00356814" w:rsidRPr="00356814" w:rsidRDefault="001008AD" w:rsidP="00EA633C">
      <w:pPr>
        <w:widowControl w:val="0"/>
        <w:autoSpaceDE w:val="0"/>
        <w:autoSpaceDN w:val="0"/>
        <w:adjustRightInd w:val="0"/>
        <w:spacing w:after="240"/>
        <w:contextualSpacing/>
        <w:rPr>
          <w:rFonts w:cs="Times New Roman"/>
          <w:color w:val="000000"/>
        </w:rPr>
      </w:pPr>
      <w:r>
        <w:rPr>
          <w:rFonts w:cs="Times New Roman"/>
          <w:color w:val="000000"/>
        </w:rPr>
        <w:t>–</w:t>
      </w:r>
      <w:r w:rsidR="00356814">
        <w:rPr>
          <w:rFonts w:cs="Times New Roman"/>
          <w:color w:val="000000"/>
        </w:rPr>
        <w:t xml:space="preserve">For English, </w:t>
      </w:r>
      <w:r w:rsidR="00887EEE">
        <w:rPr>
          <w:rFonts w:cs="Times New Roman"/>
          <w:color w:val="000000"/>
        </w:rPr>
        <w:t>you could pretty easily explain almost all the words as grammatical function words (article, preposition, connective, personal pronoun) or as discourse markers (as you say on p. 99); plus some words that are overtly coded in their discourse function.</w:t>
      </w:r>
    </w:p>
    <w:p w14:paraId="6425F6B1" w14:textId="77777777" w:rsidR="00356814" w:rsidRDefault="00356814" w:rsidP="00EA633C">
      <w:pPr>
        <w:widowControl w:val="0"/>
        <w:autoSpaceDE w:val="0"/>
        <w:autoSpaceDN w:val="0"/>
        <w:adjustRightInd w:val="0"/>
        <w:spacing w:after="240"/>
        <w:contextualSpacing/>
        <w:rPr>
          <w:rFonts w:cs="Times New Roman"/>
          <w:b/>
          <w:color w:val="000000"/>
        </w:rPr>
      </w:pPr>
    </w:p>
    <w:p w14:paraId="653CF07C" w14:textId="35065534" w:rsidR="00D861BE" w:rsidRDefault="00E06281" w:rsidP="00EA633C">
      <w:pPr>
        <w:widowControl w:val="0"/>
        <w:autoSpaceDE w:val="0"/>
        <w:autoSpaceDN w:val="0"/>
        <w:adjustRightInd w:val="0"/>
        <w:spacing w:after="240"/>
        <w:contextualSpacing/>
        <w:rPr>
          <w:rFonts w:cs="Times New Roman"/>
          <w:b/>
          <w:color w:val="000000"/>
        </w:rPr>
      </w:pPr>
      <w:r>
        <w:rPr>
          <w:rFonts w:cs="Times New Roman"/>
          <w:b/>
          <w:color w:val="000000"/>
        </w:rPr>
        <w:t>Other changes</w:t>
      </w:r>
    </w:p>
    <w:p w14:paraId="7EE476BC" w14:textId="77777777" w:rsidR="00E06281" w:rsidRDefault="00E06281" w:rsidP="00E06281">
      <w:pPr>
        <w:widowControl w:val="0"/>
        <w:autoSpaceDE w:val="0"/>
        <w:autoSpaceDN w:val="0"/>
        <w:adjustRightInd w:val="0"/>
        <w:spacing w:after="240"/>
        <w:contextualSpacing/>
        <w:rPr>
          <w:rFonts w:cs="Times New Roman"/>
          <w:color w:val="000000"/>
        </w:rPr>
      </w:pPr>
    </w:p>
    <w:p w14:paraId="4EFF886D" w14:textId="719B7FC2" w:rsidR="00E06281" w:rsidRDefault="00E06281" w:rsidP="00E06281">
      <w:pPr>
        <w:widowControl w:val="0"/>
        <w:autoSpaceDE w:val="0"/>
        <w:autoSpaceDN w:val="0"/>
        <w:adjustRightInd w:val="0"/>
        <w:spacing w:after="240"/>
        <w:contextualSpacing/>
        <w:rPr>
          <w:rFonts w:cs="Times New Roman"/>
          <w:color w:val="000000"/>
        </w:rPr>
      </w:pPr>
      <w:r>
        <w:rPr>
          <w:rFonts w:cs="Times New Roman"/>
          <w:color w:val="000000"/>
        </w:rPr>
        <w:t>The first two are really essential in my opinion. The third is highly desirable if possible in the short time available.</w:t>
      </w:r>
    </w:p>
    <w:p w14:paraId="3C21A3F3" w14:textId="77777777" w:rsidR="00E06281" w:rsidRDefault="00E06281" w:rsidP="00E06281">
      <w:pPr>
        <w:widowControl w:val="0"/>
        <w:autoSpaceDE w:val="0"/>
        <w:autoSpaceDN w:val="0"/>
        <w:adjustRightInd w:val="0"/>
        <w:spacing w:after="240"/>
        <w:contextualSpacing/>
        <w:rPr>
          <w:rFonts w:cs="Times New Roman"/>
          <w:color w:val="000000"/>
        </w:rPr>
      </w:pPr>
    </w:p>
    <w:p w14:paraId="7581378D" w14:textId="349B7FD5" w:rsidR="00E06281" w:rsidRPr="00E06281" w:rsidRDefault="00E06281" w:rsidP="00E06281">
      <w:pPr>
        <w:widowControl w:val="0"/>
        <w:autoSpaceDE w:val="0"/>
        <w:autoSpaceDN w:val="0"/>
        <w:adjustRightInd w:val="0"/>
        <w:spacing w:after="240"/>
        <w:contextualSpacing/>
        <w:rPr>
          <w:rFonts w:cs="Times New Roman"/>
          <w:b/>
          <w:color w:val="000000"/>
        </w:rPr>
      </w:pPr>
      <w:r w:rsidRPr="00E06281">
        <w:rPr>
          <w:rFonts w:cs="Times New Roman"/>
          <w:b/>
          <w:color w:val="000000"/>
        </w:rPr>
        <w:t>(1) Tables 4.6 and 4.7</w:t>
      </w:r>
    </w:p>
    <w:p w14:paraId="793D02A5" w14:textId="77777777" w:rsidR="00E06281" w:rsidRDefault="00E06281" w:rsidP="00E06281">
      <w:pPr>
        <w:widowControl w:val="0"/>
        <w:autoSpaceDE w:val="0"/>
        <w:autoSpaceDN w:val="0"/>
        <w:adjustRightInd w:val="0"/>
        <w:spacing w:after="240"/>
        <w:contextualSpacing/>
        <w:rPr>
          <w:rFonts w:cs="Times New Roman"/>
          <w:color w:val="000000"/>
        </w:rPr>
      </w:pPr>
    </w:p>
    <w:p w14:paraId="1DAC179D" w14:textId="77777777" w:rsidR="00E06281" w:rsidRDefault="00E06281" w:rsidP="00E06281">
      <w:pPr>
        <w:widowControl w:val="0"/>
        <w:autoSpaceDE w:val="0"/>
        <w:autoSpaceDN w:val="0"/>
        <w:adjustRightInd w:val="0"/>
        <w:spacing w:after="240"/>
        <w:ind w:left="360"/>
        <w:contextualSpacing/>
      </w:pPr>
      <w:r>
        <w:rPr>
          <w:rFonts w:cs="Times New Roman"/>
          <w:color w:val="000000"/>
        </w:rPr>
        <w:t>‘</w:t>
      </w:r>
      <w:r w:rsidRPr="00AF64B8">
        <w:t>Why is it that similar property words are so rigid in English yet so po</w:t>
      </w:r>
      <w:r>
        <w:t>lyfunctional in Nuuchahnulth?’ (</w:t>
      </w:r>
      <w:r>
        <w:rPr>
          <w:rFonts w:cs="Times New Roman"/>
          <w:color w:val="000000"/>
        </w:rPr>
        <w:t>p. 162)</w:t>
      </w:r>
    </w:p>
    <w:p w14:paraId="6E12ABB0" w14:textId="77777777" w:rsidR="00E06281" w:rsidRDefault="00E06281" w:rsidP="00E06281">
      <w:pPr>
        <w:widowControl w:val="0"/>
        <w:autoSpaceDE w:val="0"/>
        <w:autoSpaceDN w:val="0"/>
        <w:adjustRightInd w:val="0"/>
        <w:spacing w:after="240"/>
        <w:contextualSpacing/>
      </w:pPr>
    </w:p>
    <w:p w14:paraId="5D516DFB" w14:textId="4AD826A9" w:rsidR="00E06281" w:rsidRDefault="00E06281" w:rsidP="00E06281">
      <w:pPr>
        <w:widowControl w:val="0"/>
        <w:autoSpaceDE w:val="0"/>
        <w:autoSpaceDN w:val="0"/>
        <w:adjustRightInd w:val="0"/>
        <w:spacing w:after="240"/>
        <w:contextualSpacing/>
      </w:pPr>
      <w:r>
        <w:t>In part, it is because only 3 of the 13 words in Table 4.7 are properties, unlike Table 4.6; and those three words (‘big’, ‘aged’, ‘old’) are 3 of the 4 lowest-ranked words in that list (i.e. are less functionally diverse/polyfunctional).</w:t>
      </w:r>
      <w:r w:rsidR="00C53D3F">
        <w:t xml:space="preserve"> Please either note that only these three words are property concept words, or remove the non-property concept words from Table 4.7 and adjust the discussion in the text accordingly.</w:t>
      </w:r>
    </w:p>
    <w:p w14:paraId="17F51785" w14:textId="77777777" w:rsidR="00E06281" w:rsidRDefault="00E06281" w:rsidP="00E06281">
      <w:pPr>
        <w:widowControl w:val="0"/>
        <w:autoSpaceDE w:val="0"/>
        <w:autoSpaceDN w:val="0"/>
        <w:adjustRightInd w:val="0"/>
        <w:spacing w:after="240"/>
        <w:contextualSpacing/>
      </w:pPr>
    </w:p>
    <w:p w14:paraId="4C83ED03" w14:textId="3739B1D9" w:rsidR="00E06281" w:rsidRPr="00E06281" w:rsidRDefault="00E06281" w:rsidP="00E06281">
      <w:pPr>
        <w:widowControl w:val="0"/>
        <w:autoSpaceDE w:val="0"/>
        <w:autoSpaceDN w:val="0"/>
        <w:adjustRightInd w:val="0"/>
        <w:spacing w:after="240"/>
        <w:contextualSpacing/>
        <w:rPr>
          <w:b/>
        </w:rPr>
      </w:pPr>
      <w:r w:rsidRPr="00E06281">
        <w:rPr>
          <w:b/>
        </w:rPr>
        <w:t>(2) Typological markedness theory</w:t>
      </w:r>
    </w:p>
    <w:p w14:paraId="7C2875BC" w14:textId="77777777" w:rsidR="00E06281" w:rsidRDefault="00E06281" w:rsidP="00E06281">
      <w:pPr>
        <w:widowControl w:val="0"/>
        <w:autoSpaceDE w:val="0"/>
        <w:autoSpaceDN w:val="0"/>
        <w:adjustRightInd w:val="0"/>
        <w:spacing w:after="240"/>
        <w:contextualSpacing/>
      </w:pPr>
    </w:p>
    <w:p w14:paraId="3093FAEC" w14:textId="77777777" w:rsidR="00E06281" w:rsidRDefault="00E06281" w:rsidP="00E06281">
      <w:pPr>
        <w:ind w:left="360"/>
      </w:pPr>
      <w:r>
        <w:t xml:space="preserve">‘The marked member of a category may be literally marked with an affix or other overt morphological indicator, but this is just one of the ways an item can be a marked member of a category. The marked member of a category may also be less frequent, or have a smaller range of inflectional / distributional possibilities, </w:t>
      </w:r>
      <w:r w:rsidRPr="00E36542">
        <w:rPr>
          <w:i/>
        </w:rPr>
        <w:t>or show a semantic shift in the direction of the word’s prototypical function</w:t>
      </w:r>
      <w:r>
        <w:t>’ (p. 72)</w:t>
      </w:r>
    </w:p>
    <w:p w14:paraId="380DECA7" w14:textId="77777777" w:rsidR="00E06281" w:rsidRDefault="00E06281" w:rsidP="00E06281">
      <w:pPr>
        <w:widowControl w:val="0"/>
        <w:autoSpaceDE w:val="0"/>
        <w:autoSpaceDN w:val="0"/>
        <w:adjustRightInd w:val="0"/>
        <w:spacing w:after="240"/>
        <w:contextualSpacing/>
      </w:pPr>
    </w:p>
    <w:p w14:paraId="093C8FFF" w14:textId="21706C46" w:rsidR="00E06281" w:rsidRDefault="00E06281" w:rsidP="00E06281">
      <w:pPr>
        <w:widowControl w:val="0"/>
        <w:autoSpaceDE w:val="0"/>
        <w:autoSpaceDN w:val="0"/>
        <w:adjustRightInd w:val="0"/>
        <w:spacing w:after="240"/>
        <w:contextualSpacing/>
      </w:pPr>
      <w:r>
        <w:t>This is NOT part of typological markedness theory. Only how concepts are encoded formally is part of typological markedness theory. Concept identity is fixed</w:t>
      </w:r>
      <w:r w:rsidR="00C53D3F">
        <w:t xml:space="preserve"> in this </w:t>
      </w:r>
      <w:r w:rsidR="00C53D3F">
        <w:lastRenderedPageBreak/>
        <w:t>approach</w:t>
      </w:r>
      <w:r>
        <w:t>. The generalization about semantic shift</w:t>
      </w:r>
      <w:r w:rsidR="00C53D3F">
        <w:t>/extension</w:t>
      </w:r>
      <w:r>
        <w:t xml:space="preserve"> in parts of speech</w:t>
      </w:r>
      <w:r w:rsidR="00C53D3F">
        <w:t xml:space="preserve"> in my 1991 book that you cite</w:t>
      </w:r>
      <w:r>
        <w:t xml:space="preserve"> is an empirical observation about patterns of semantic shift, not definitional of typological markedness.</w:t>
      </w:r>
      <w:r w:rsidR="00C53D3F">
        <w:t xml:space="preserve"> Please remove the italicized part of this paragraph.</w:t>
      </w:r>
    </w:p>
    <w:p w14:paraId="0FE39FE0" w14:textId="77777777" w:rsidR="00E06281" w:rsidRDefault="00E06281" w:rsidP="00EA633C">
      <w:pPr>
        <w:widowControl w:val="0"/>
        <w:autoSpaceDE w:val="0"/>
        <w:autoSpaceDN w:val="0"/>
        <w:adjustRightInd w:val="0"/>
        <w:spacing w:after="240"/>
        <w:contextualSpacing/>
        <w:rPr>
          <w:rFonts w:cs="Times New Roman"/>
          <w:b/>
          <w:color w:val="000000"/>
        </w:rPr>
      </w:pPr>
    </w:p>
    <w:p w14:paraId="3B6891BF" w14:textId="6D88BA78" w:rsidR="00E06281" w:rsidRDefault="00E06281" w:rsidP="00EA633C">
      <w:pPr>
        <w:widowControl w:val="0"/>
        <w:autoSpaceDE w:val="0"/>
        <w:autoSpaceDN w:val="0"/>
        <w:adjustRightInd w:val="0"/>
        <w:spacing w:after="240"/>
        <w:contextualSpacing/>
        <w:rPr>
          <w:rFonts w:cs="Times New Roman"/>
          <w:b/>
          <w:color w:val="000000"/>
        </w:rPr>
      </w:pPr>
      <w:r>
        <w:rPr>
          <w:rFonts w:cs="Times New Roman"/>
          <w:b/>
          <w:color w:val="000000"/>
        </w:rPr>
        <w:t>(3) Triangle plots</w:t>
      </w:r>
    </w:p>
    <w:p w14:paraId="2BFE84BB" w14:textId="0BEFFDA7" w:rsidR="00EA633C" w:rsidRDefault="008B48DA" w:rsidP="00C27E2B">
      <w:pPr>
        <w:pStyle w:val="BlockQuote"/>
      </w:pPr>
      <w:r>
        <w:t xml:space="preserve">It would </w:t>
      </w:r>
      <w:r w:rsidR="00E06281">
        <w:t>be</w:t>
      </w:r>
      <w:r>
        <w:t xml:space="preserve"> helpful to have 3D versions of the triangle plots, in order to disentangle (near-)monofunctionality separately for reference, predication and modification.</w:t>
      </w:r>
      <w:r w:rsidR="00E06281">
        <w:t xml:space="preserve"> I don’t know how easy this would be to do quickly.</w:t>
      </w:r>
    </w:p>
    <w:p w14:paraId="10E2A9BE" w14:textId="53600F47" w:rsidR="00C27E2B" w:rsidRPr="00C27E2B" w:rsidRDefault="00C27E2B" w:rsidP="00C27E2B">
      <w:r>
        <w:t xml:space="preserve">That would be really neat! I </w:t>
      </w:r>
      <w:r w:rsidR="00CF5886">
        <w:t>rummaged around StackExchange and other forums for an R package that would allow me to do this, but I couldn’t find one.</w:t>
      </w:r>
      <w:r w:rsidR="00A142E9">
        <w:t xml:space="preserve"> I wasn’t entirely sure what you were requesting here though, so I emailed you about it</w:t>
      </w:r>
      <w:r w:rsidR="00AC74B2">
        <w:t>, and will see if there’s another way to present the information you want.</w:t>
      </w:r>
    </w:p>
    <w:sectPr w:rsidR="00C27E2B" w:rsidRPr="00C27E2B" w:rsidSect="00EA633C">
      <w:footerReference w:type="even" r:id="rId6"/>
      <w:footerReference w:type="default" r:id="rId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C8D0E" w14:textId="77777777" w:rsidR="00740637" w:rsidRDefault="00740637" w:rsidP="0012742D">
      <w:r>
        <w:separator/>
      </w:r>
    </w:p>
  </w:endnote>
  <w:endnote w:type="continuationSeparator" w:id="0">
    <w:p w14:paraId="2061AE31" w14:textId="77777777" w:rsidR="00740637" w:rsidRDefault="00740637" w:rsidP="00127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3A0F1" w14:textId="77777777" w:rsidR="00356814" w:rsidRDefault="00356814" w:rsidP="001274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4C71B9" w14:textId="77777777" w:rsidR="00356814" w:rsidRDefault="003568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63E03" w14:textId="77777777" w:rsidR="00356814" w:rsidRDefault="00356814" w:rsidP="001274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008AD">
      <w:rPr>
        <w:rStyle w:val="PageNumber"/>
        <w:noProof/>
      </w:rPr>
      <w:t>1</w:t>
    </w:r>
    <w:r>
      <w:rPr>
        <w:rStyle w:val="PageNumber"/>
      </w:rPr>
      <w:fldChar w:fldCharType="end"/>
    </w:r>
  </w:p>
  <w:p w14:paraId="64470922" w14:textId="77777777" w:rsidR="00356814" w:rsidRDefault="00356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B8988" w14:textId="77777777" w:rsidR="00740637" w:rsidRDefault="00740637" w:rsidP="0012742D">
      <w:r>
        <w:separator/>
      </w:r>
    </w:p>
  </w:footnote>
  <w:footnote w:type="continuationSeparator" w:id="0">
    <w:p w14:paraId="6904B056" w14:textId="77777777" w:rsidR="00740637" w:rsidRDefault="00740637" w:rsidP="001274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3C"/>
    <w:rsid w:val="000034F0"/>
    <w:rsid w:val="000077D0"/>
    <w:rsid w:val="000306BF"/>
    <w:rsid w:val="00034218"/>
    <w:rsid w:val="000378A8"/>
    <w:rsid w:val="00045957"/>
    <w:rsid w:val="00066996"/>
    <w:rsid w:val="00066AD7"/>
    <w:rsid w:val="00073675"/>
    <w:rsid w:val="00081516"/>
    <w:rsid w:val="00087DCA"/>
    <w:rsid w:val="000A025E"/>
    <w:rsid w:val="000B41F0"/>
    <w:rsid w:val="000C5258"/>
    <w:rsid w:val="000C794F"/>
    <w:rsid w:val="000D3C4D"/>
    <w:rsid w:val="001008AD"/>
    <w:rsid w:val="00120CDC"/>
    <w:rsid w:val="0012742D"/>
    <w:rsid w:val="00135F15"/>
    <w:rsid w:val="00142A34"/>
    <w:rsid w:val="001610D6"/>
    <w:rsid w:val="001612C3"/>
    <w:rsid w:val="0016515F"/>
    <w:rsid w:val="00180DE1"/>
    <w:rsid w:val="0019180A"/>
    <w:rsid w:val="0019229A"/>
    <w:rsid w:val="001C1B4B"/>
    <w:rsid w:val="001C2910"/>
    <w:rsid w:val="001D0EBF"/>
    <w:rsid w:val="001E04DF"/>
    <w:rsid w:val="001E6D26"/>
    <w:rsid w:val="001F7C68"/>
    <w:rsid w:val="00212B30"/>
    <w:rsid w:val="00214AE9"/>
    <w:rsid w:val="0022328A"/>
    <w:rsid w:val="00233FCB"/>
    <w:rsid w:val="00240469"/>
    <w:rsid w:val="00247EA8"/>
    <w:rsid w:val="00260E42"/>
    <w:rsid w:val="002675A2"/>
    <w:rsid w:val="00284BF8"/>
    <w:rsid w:val="002A17D8"/>
    <w:rsid w:val="002B18CB"/>
    <w:rsid w:val="002C0B9B"/>
    <w:rsid w:val="002E19C9"/>
    <w:rsid w:val="003036E6"/>
    <w:rsid w:val="0031570D"/>
    <w:rsid w:val="0032513D"/>
    <w:rsid w:val="00326C7B"/>
    <w:rsid w:val="00327940"/>
    <w:rsid w:val="00335029"/>
    <w:rsid w:val="00356814"/>
    <w:rsid w:val="00376B38"/>
    <w:rsid w:val="003A46DD"/>
    <w:rsid w:val="003B0302"/>
    <w:rsid w:val="003C2F88"/>
    <w:rsid w:val="003D072A"/>
    <w:rsid w:val="003D3B45"/>
    <w:rsid w:val="003E4570"/>
    <w:rsid w:val="003F7EF9"/>
    <w:rsid w:val="00416D79"/>
    <w:rsid w:val="00433B41"/>
    <w:rsid w:val="00442FF7"/>
    <w:rsid w:val="00450249"/>
    <w:rsid w:val="00455963"/>
    <w:rsid w:val="004672AB"/>
    <w:rsid w:val="004722A2"/>
    <w:rsid w:val="00472750"/>
    <w:rsid w:val="00482E19"/>
    <w:rsid w:val="00483943"/>
    <w:rsid w:val="00485DBC"/>
    <w:rsid w:val="004B310C"/>
    <w:rsid w:val="004B44BA"/>
    <w:rsid w:val="004D6154"/>
    <w:rsid w:val="004F41A3"/>
    <w:rsid w:val="004F6711"/>
    <w:rsid w:val="0051138A"/>
    <w:rsid w:val="00526467"/>
    <w:rsid w:val="0053312E"/>
    <w:rsid w:val="00534E25"/>
    <w:rsid w:val="005350BE"/>
    <w:rsid w:val="005364D3"/>
    <w:rsid w:val="00540ED3"/>
    <w:rsid w:val="00567F00"/>
    <w:rsid w:val="00570EB1"/>
    <w:rsid w:val="005B6DB0"/>
    <w:rsid w:val="005C6888"/>
    <w:rsid w:val="005C7DA9"/>
    <w:rsid w:val="005D667E"/>
    <w:rsid w:val="005E30E9"/>
    <w:rsid w:val="005F4482"/>
    <w:rsid w:val="00605428"/>
    <w:rsid w:val="00615EC7"/>
    <w:rsid w:val="00620044"/>
    <w:rsid w:val="00622321"/>
    <w:rsid w:val="006249C4"/>
    <w:rsid w:val="00627CA7"/>
    <w:rsid w:val="00643076"/>
    <w:rsid w:val="00650AD3"/>
    <w:rsid w:val="00661BFD"/>
    <w:rsid w:val="0066324C"/>
    <w:rsid w:val="0066528C"/>
    <w:rsid w:val="00676862"/>
    <w:rsid w:val="006773DE"/>
    <w:rsid w:val="00680261"/>
    <w:rsid w:val="006964F2"/>
    <w:rsid w:val="006E4E73"/>
    <w:rsid w:val="006F2ADE"/>
    <w:rsid w:val="0071687B"/>
    <w:rsid w:val="00723C88"/>
    <w:rsid w:val="00727F64"/>
    <w:rsid w:val="00731001"/>
    <w:rsid w:val="00740637"/>
    <w:rsid w:val="007668D0"/>
    <w:rsid w:val="00782699"/>
    <w:rsid w:val="00794D38"/>
    <w:rsid w:val="007B2BA3"/>
    <w:rsid w:val="007C5673"/>
    <w:rsid w:val="007D0C99"/>
    <w:rsid w:val="007E17AE"/>
    <w:rsid w:val="007F62C7"/>
    <w:rsid w:val="00803E4B"/>
    <w:rsid w:val="008045AE"/>
    <w:rsid w:val="00825525"/>
    <w:rsid w:val="008306F2"/>
    <w:rsid w:val="00834FAA"/>
    <w:rsid w:val="00835C9D"/>
    <w:rsid w:val="008479F4"/>
    <w:rsid w:val="00860678"/>
    <w:rsid w:val="0086183B"/>
    <w:rsid w:val="0087092E"/>
    <w:rsid w:val="00872275"/>
    <w:rsid w:val="00887EEE"/>
    <w:rsid w:val="00892F04"/>
    <w:rsid w:val="008B48DA"/>
    <w:rsid w:val="008C0D6F"/>
    <w:rsid w:val="008C156B"/>
    <w:rsid w:val="008C2473"/>
    <w:rsid w:val="008C3D64"/>
    <w:rsid w:val="008C5256"/>
    <w:rsid w:val="008D09A6"/>
    <w:rsid w:val="008D1878"/>
    <w:rsid w:val="008D6C20"/>
    <w:rsid w:val="008D737F"/>
    <w:rsid w:val="008E3BEF"/>
    <w:rsid w:val="008E68C7"/>
    <w:rsid w:val="00911649"/>
    <w:rsid w:val="009203FE"/>
    <w:rsid w:val="00925B39"/>
    <w:rsid w:val="00937741"/>
    <w:rsid w:val="0094196E"/>
    <w:rsid w:val="00942814"/>
    <w:rsid w:val="0094639B"/>
    <w:rsid w:val="009527F3"/>
    <w:rsid w:val="00954160"/>
    <w:rsid w:val="00957841"/>
    <w:rsid w:val="00964A08"/>
    <w:rsid w:val="00967C70"/>
    <w:rsid w:val="00971232"/>
    <w:rsid w:val="009A1371"/>
    <w:rsid w:val="009A2C8C"/>
    <w:rsid w:val="009A6FB8"/>
    <w:rsid w:val="009B1EEF"/>
    <w:rsid w:val="009C0FD5"/>
    <w:rsid w:val="009F1DA6"/>
    <w:rsid w:val="009F3794"/>
    <w:rsid w:val="00A04C4E"/>
    <w:rsid w:val="00A142E9"/>
    <w:rsid w:val="00A327C9"/>
    <w:rsid w:val="00A523F5"/>
    <w:rsid w:val="00A5547F"/>
    <w:rsid w:val="00A56D6F"/>
    <w:rsid w:val="00A72B87"/>
    <w:rsid w:val="00A7363A"/>
    <w:rsid w:val="00A73A0B"/>
    <w:rsid w:val="00A834D4"/>
    <w:rsid w:val="00A87E85"/>
    <w:rsid w:val="00AA20E8"/>
    <w:rsid w:val="00AA7B0C"/>
    <w:rsid w:val="00AC6963"/>
    <w:rsid w:val="00AC74B2"/>
    <w:rsid w:val="00AE25F2"/>
    <w:rsid w:val="00AF64B8"/>
    <w:rsid w:val="00B06AF0"/>
    <w:rsid w:val="00B33924"/>
    <w:rsid w:val="00B547E8"/>
    <w:rsid w:val="00B64C8D"/>
    <w:rsid w:val="00B711CE"/>
    <w:rsid w:val="00B739AB"/>
    <w:rsid w:val="00B75D86"/>
    <w:rsid w:val="00B81218"/>
    <w:rsid w:val="00B814A0"/>
    <w:rsid w:val="00B97C6F"/>
    <w:rsid w:val="00B97DA5"/>
    <w:rsid w:val="00BA3495"/>
    <w:rsid w:val="00BB1183"/>
    <w:rsid w:val="00BB41FC"/>
    <w:rsid w:val="00BC339C"/>
    <w:rsid w:val="00BC36CD"/>
    <w:rsid w:val="00BE48F3"/>
    <w:rsid w:val="00BF0353"/>
    <w:rsid w:val="00C130B6"/>
    <w:rsid w:val="00C16E34"/>
    <w:rsid w:val="00C27E2B"/>
    <w:rsid w:val="00C36E51"/>
    <w:rsid w:val="00C47DB5"/>
    <w:rsid w:val="00C51FB5"/>
    <w:rsid w:val="00C53D3F"/>
    <w:rsid w:val="00C71B2D"/>
    <w:rsid w:val="00C73C61"/>
    <w:rsid w:val="00C94A30"/>
    <w:rsid w:val="00C96785"/>
    <w:rsid w:val="00CA39C6"/>
    <w:rsid w:val="00CD10A7"/>
    <w:rsid w:val="00CF5886"/>
    <w:rsid w:val="00D0319A"/>
    <w:rsid w:val="00D06A89"/>
    <w:rsid w:val="00D67E9B"/>
    <w:rsid w:val="00D72075"/>
    <w:rsid w:val="00D724AA"/>
    <w:rsid w:val="00D8574E"/>
    <w:rsid w:val="00D861BE"/>
    <w:rsid w:val="00D92CD2"/>
    <w:rsid w:val="00DA7C5F"/>
    <w:rsid w:val="00DB19F2"/>
    <w:rsid w:val="00DB3995"/>
    <w:rsid w:val="00DC17B4"/>
    <w:rsid w:val="00DC1A9C"/>
    <w:rsid w:val="00DC514A"/>
    <w:rsid w:val="00DC72F4"/>
    <w:rsid w:val="00DD3196"/>
    <w:rsid w:val="00DD4010"/>
    <w:rsid w:val="00DE5AA0"/>
    <w:rsid w:val="00DF0152"/>
    <w:rsid w:val="00DF20CA"/>
    <w:rsid w:val="00E06281"/>
    <w:rsid w:val="00E12720"/>
    <w:rsid w:val="00E36542"/>
    <w:rsid w:val="00E46267"/>
    <w:rsid w:val="00E7112D"/>
    <w:rsid w:val="00E8644E"/>
    <w:rsid w:val="00E954A0"/>
    <w:rsid w:val="00E96F1D"/>
    <w:rsid w:val="00EA138D"/>
    <w:rsid w:val="00EA633C"/>
    <w:rsid w:val="00EB43D6"/>
    <w:rsid w:val="00EC1BD7"/>
    <w:rsid w:val="00ED03C1"/>
    <w:rsid w:val="00F11B4B"/>
    <w:rsid w:val="00F1234F"/>
    <w:rsid w:val="00F23FEA"/>
    <w:rsid w:val="00F2470C"/>
    <w:rsid w:val="00F40448"/>
    <w:rsid w:val="00F6492E"/>
    <w:rsid w:val="00F65F8B"/>
    <w:rsid w:val="00F70008"/>
    <w:rsid w:val="00F93D91"/>
    <w:rsid w:val="00FA562A"/>
    <w:rsid w:val="00FA5D59"/>
    <w:rsid w:val="00FB3942"/>
    <w:rsid w:val="00FC406F"/>
    <w:rsid w:val="00FC486C"/>
    <w:rsid w:val="00FE418B"/>
    <w:rsid w:val="00FF4F88"/>
    <w:rsid w:val="00FF6C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5CC429A"/>
  <w14:defaultImageDpi w14:val="300"/>
  <w15:docId w15:val="{66CB4FF7-76B2-4EDA-A4BD-9AE3687B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Courier"/>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63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633C"/>
    <w:rPr>
      <w:rFonts w:ascii="Lucida Grande" w:hAnsi="Lucida Grande" w:cs="Lucida Grande"/>
      <w:sz w:val="18"/>
      <w:szCs w:val="18"/>
    </w:rPr>
  </w:style>
  <w:style w:type="paragraph" w:styleId="Footer">
    <w:name w:val="footer"/>
    <w:basedOn w:val="Normal"/>
    <w:link w:val="FooterChar"/>
    <w:uiPriority w:val="99"/>
    <w:unhideWhenUsed/>
    <w:rsid w:val="0012742D"/>
    <w:pPr>
      <w:tabs>
        <w:tab w:val="center" w:pos="4320"/>
        <w:tab w:val="right" w:pos="8640"/>
      </w:tabs>
    </w:pPr>
  </w:style>
  <w:style w:type="character" w:customStyle="1" w:styleId="FooterChar">
    <w:name w:val="Footer Char"/>
    <w:basedOn w:val="DefaultParagraphFont"/>
    <w:link w:val="Footer"/>
    <w:uiPriority w:val="99"/>
    <w:rsid w:val="0012742D"/>
  </w:style>
  <w:style w:type="character" w:styleId="PageNumber">
    <w:name w:val="page number"/>
    <w:basedOn w:val="DefaultParagraphFont"/>
    <w:uiPriority w:val="99"/>
    <w:semiHidden/>
    <w:unhideWhenUsed/>
    <w:rsid w:val="0012742D"/>
  </w:style>
  <w:style w:type="paragraph" w:customStyle="1" w:styleId="BlockQuote">
    <w:name w:val="Block Quote"/>
    <w:basedOn w:val="Normal"/>
    <w:next w:val="Normal"/>
    <w:link w:val="BlockQuoteChar"/>
    <w:qFormat/>
    <w:rsid w:val="0071687B"/>
    <w:pPr>
      <w:widowControl w:val="0"/>
      <w:autoSpaceDE w:val="0"/>
      <w:autoSpaceDN w:val="0"/>
      <w:adjustRightInd w:val="0"/>
      <w:spacing w:before="240" w:after="240"/>
      <w:ind w:left="360"/>
    </w:pPr>
    <w:rPr>
      <w:rFonts w:cs="Times New Roman"/>
      <w:color w:val="000000"/>
      <w:sz w:val="20"/>
      <w:szCs w:val="20"/>
    </w:rPr>
  </w:style>
  <w:style w:type="character" w:customStyle="1" w:styleId="BlockQuoteChar">
    <w:name w:val="Block Quote Char"/>
    <w:basedOn w:val="DefaultParagraphFont"/>
    <w:link w:val="BlockQuote"/>
    <w:rsid w:val="0071687B"/>
    <w:rPr>
      <w:rFonts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5</Pages>
  <Words>1925</Words>
  <Characters>9768</Characters>
  <Application>Microsoft Office Word</Application>
  <DocSecurity>0</DocSecurity>
  <Lines>81</Lines>
  <Paragraphs>23</Paragraphs>
  <ScaleCrop>false</ScaleCrop>
  <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Croft</dc:creator>
  <cp:keywords/>
  <dc:description/>
  <cp:lastModifiedBy>Daniel W. Hieber</cp:lastModifiedBy>
  <cp:revision>113</cp:revision>
  <cp:lastPrinted>2021-06-08T15:11:00Z</cp:lastPrinted>
  <dcterms:created xsi:type="dcterms:W3CDTF">2021-06-09T17:37:00Z</dcterms:created>
  <dcterms:modified xsi:type="dcterms:W3CDTF">2021-06-10T00:32:00Z</dcterms:modified>
</cp:coreProperties>
</file>