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bookmarkStart w:id="0" w:name="_GoBack"/>
      <w:bookmarkEnd w:id="0"/>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1" w:name="_Ref503355087"/>
      <w:r>
        <w:t>Introduction</w:t>
      </w:r>
      <w:bookmarkEnd w:id="1"/>
    </w:p>
    <w:p w14:paraId="4D2E8FEA" w14:textId="77777777"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Evan van Lier 2017:242)</w:t>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2" w:name="OLE_LINK1"/>
      <w:r w:rsidRPr="00773ECB">
        <w:rPr>
          <w:u w:val="single"/>
        </w:rPr>
        <w:t>English (Indo-European &gt; Germanic)</w:t>
      </w:r>
      <w:bookmarkEnd w:id="2"/>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3" w:name="_Ref503178250"/>
      <w:r>
        <w:t>a.</w:t>
      </w:r>
      <w:r>
        <w:tab/>
        <w:t xml:space="preserve">We just put the </w:t>
      </w:r>
      <w:r w:rsidRPr="00BC63F6">
        <w:rPr>
          <w:b/>
        </w:rPr>
        <w:t>shoes</w:t>
      </w:r>
      <w:r w:rsidRPr="00BC63F6">
        <w:t xml:space="preserve"> </w:t>
      </w:r>
      <w:r>
        <w:t>that were already made on a horse.</w:t>
      </w:r>
      <w:bookmarkEnd w:id="3"/>
      <w:r>
        <w:tab/>
      </w:r>
    </w:p>
    <w:p w14:paraId="4E62DB2B" w14:textId="77777777"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 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3E3308A3" w14:textId="77777777"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 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4" w:name="_Ref503178257"/>
      <w:r>
        <w:t>a.</w:t>
      </w:r>
      <w:r>
        <w:tab/>
      </w:r>
      <w:r w:rsidRPr="00BC63F6">
        <w:rPr>
          <w:b/>
          <w:noProof/>
        </w:rPr>
        <w:t>buru</w:t>
      </w:r>
      <w:r>
        <w:rPr>
          <w:noProof/>
        </w:rPr>
        <w:t>=ko</w:t>
      </w:r>
      <w:r>
        <w:rPr>
          <w:noProof/>
        </w:rPr>
        <w:tab/>
        <w:t>bai-ke-d-a</w:t>
      </w:r>
      <w:bookmarkEnd w:id="4"/>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7777777"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7777777"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(Dixon 1982;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5A19D2" w:rsidRPr="005A19D2">
        <w:rPr>
          <w:noProof/>
        </w:rPr>
        <w:t>Hopper &amp; Thompson 1984</w:t>
      </w:r>
      <w:r w:rsidR="009D2000">
        <w:t xml:space="preserve">, </w:t>
      </w:r>
      <w:r w:rsidR="005A19D2" w:rsidRPr="005A19D2">
        <w:rPr>
          <w:noProof/>
        </w:rPr>
        <w:t>Thompson 1989</w:t>
      </w:r>
      <w:r w:rsidR="009D2000">
        <w:t xml:space="preserve">, and </w:t>
      </w:r>
      <w:r w:rsidR="005A19D2" w:rsidRPr="005A19D2">
        <w:rPr>
          <w:noProof/>
        </w:rPr>
        <w:t>Nakayama 1997</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77777777"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approach is also of special interest because it has the potential to shed light on a recurring </w:t>
      </w:r>
      <w:r w:rsidR="00850686">
        <w:lastRenderedPageBreak/>
        <w:t>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73FF64A6" w14:textId="77777777" w:rsidR="00BC46BE"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1B5863">
        <w:t xml:space="preserve"> </w:t>
      </w:r>
      <w:r w:rsidR="00BC46BE">
        <w:t>Conversely</w:t>
      </w:r>
      <w:r w:rsidR="001B5863">
        <w:t xml:space="preserve">, Nakayama </w:t>
      </w:r>
      <w:r w:rsidR="00860B89" w:rsidRPr="00860B89">
        <w:rPr>
          <w:noProof/>
        </w:rPr>
        <w:t>(2002:3, 54, 57)</w:t>
      </w:r>
      <w:r w:rsidR="00C46958">
        <w:t xml:space="preserve"> </w:t>
      </w:r>
      <w:r w:rsidR="001B5863">
        <w:t xml:space="preserve">argues that </w:t>
      </w:r>
      <w:r w:rsidR="00BC46BE">
        <w:t xml:space="preserve">this model </w:t>
      </w:r>
      <w:r w:rsidR="00DD33E8">
        <w:t xml:space="preserve">also </w:t>
      </w:r>
      <w:r w:rsidR="001B5863">
        <w:t>explains the highly flexible nature of lexemes in Nuuchahnulth (</w:t>
      </w:r>
      <w:r w:rsidR="00D46D1E">
        <w:t xml:space="preserve">a.k.a Nootka; </w:t>
      </w:r>
      <w:r w:rsidR="001B5863">
        <w:t>Wakashan)</w:t>
      </w:r>
      <w:r w:rsidR="004573C0">
        <w:t xml:space="preserve"> as compared to more categorically rigid languages.</w:t>
      </w:r>
      <w:r w:rsidR="00BC46BE">
        <w:t xml:space="preserve"> Lexical categories in Nuuchahnulth are 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77777777" w:rsidR="00E62FD7" w:rsidRDefault="00E62FD7" w:rsidP="001B5863">
      <w:r>
        <w:t>The specific research questions I ask in this dissertation are as follows:</w:t>
      </w:r>
    </w:p>
    <w:p w14:paraId="515A098B" w14:textId="77777777" w:rsidR="00E62FD7" w:rsidRDefault="00860784" w:rsidP="00E62FD7">
      <w:pPr>
        <w:pStyle w:val="ListParagraph"/>
        <w:numPr>
          <w:ilvl w:val="0"/>
          <w:numId w:val="10"/>
        </w:numPr>
      </w:pPr>
      <w:bookmarkStart w:id="5" w:name="OLE_LINK2"/>
      <w:r>
        <w:t xml:space="preserve">Does the extent of lexical flexibility </w:t>
      </w:r>
      <w:r w:rsidR="002B69AE">
        <w:t>observed for</w:t>
      </w:r>
      <w:r>
        <w:t xml:space="preserve"> a </w:t>
      </w:r>
      <w:r w:rsidR="007026B1">
        <w:t>lexicon</w:t>
      </w:r>
      <w:r>
        <w:t xml:space="preserve"> correlate </w:t>
      </w:r>
      <w:r w:rsidR="00F370CF">
        <w:t>with</w:t>
      </w:r>
      <w:r>
        <w:t xml:space="preserve"> size of corpus?</w:t>
      </w:r>
      <w:r w:rsidR="00B17780">
        <w:t xml:space="preserve"> Does it correlate with the token frequency of the lexeme?</w:t>
      </w:r>
      <w:r w:rsidR="009141BE">
        <w:t xml:space="preserve"> (Chapter 2)</w:t>
      </w:r>
    </w:p>
    <w:p w14:paraId="062D0998" w14:textId="77777777" w:rsidR="00860784" w:rsidRDefault="00860784" w:rsidP="00E62FD7">
      <w:pPr>
        <w:pStyle w:val="ListParagraph"/>
        <w:numPr>
          <w:ilvl w:val="0"/>
          <w:numId w:val="10"/>
        </w:numPr>
      </w:pPr>
      <w:r>
        <w:lastRenderedPageBreak/>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r w:rsidR="00C2728F">
        <w:t xml:space="preserve"> </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5"/>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6" w:name="_Ref502225471"/>
      <w:r>
        <w:t>Background</w:t>
      </w:r>
      <w:bookmarkEnd w:id="6"/>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7777777"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rsidRPr="00023D6E">
        <w:rPr>
          <w:noProof/>
        </w:rPr>
        <w:t>(2013)</w:t>
      </w:r>
      <w:r>
        <w:t xml:space="preserve">) were described using both Dionysius’ eight categories (with some variation)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 xml:space="preserve">(Boas </w:t>
      </w:r>
      <w:r w:rsidRPr="002D4762">
        <w:rPr>
          <w:noProof/>
        </w:rPr>
        <w:lastRenderedPageBreak/>
        <w:t>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77777777"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essentially became the sole method of syntactic analysis in modern linguistics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77777777"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w:t>
      </w:r>
      <w:r w:rsidRPr="00F506DA">
        <w:lastRenderedPageBreak/>
        <w:t xml:space="preserve">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w:t>
      </w:r>
      <w:r w:rsidR="00F71D6D">
        <w:lastRenderedPageBreak/>
        <w:t>modification, and an action for predication</w:t>
      </w:r>
      <w:r w:rsidR="006F5BD1">
        <w:t xml:space="preserve"> form the prototypal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77777777"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B0E07C4" w14:textId="77777777" w:rsidR="001A511C" w:rsidRDefault="001D0716" w:rsidP="006015BF">
      <w:r w:rsidRPr="001D0716">
        <w:t xml:space="preserve">One common response to claims of lexical flexibility in a language is to show that the grammar does in fact show evidence for categorical distinctions, but that the evidence is simply </w:t>
      </w:r>
      <w:r w:rsidRPr="001D0716">
        <w:lastRenderedPageBreak/>
        <w:t>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344CB13C" w14:textId="77777777"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77777777" w:rsidR="006015BF" w:rsidRDefault="006015BF" w:rsidP="006015BF">
      <w:r>
        <w:t xml:space="preserve">In stark contrast to this first approach, some have embraced the existence of flexible categories and argued extensively for their existence </w:t>
      </w:r>
      <w:r w:rsidR="00B70CF3" w:rsidRPr="00B70CF3">
        <w:rPr>
          <w:noProof/>
        </w:rPr>
        <w:t>(Kuipers 1968; Kinkade 1983; Hengeveld 1992; Broschart 1997; Gil 2005;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77777777"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w:t>
      </w:r>
      <w:r w:rsidRPr="00985A7C">
        <w:lastRenderedPageBreak/>
        <w:t>basis that the meaning of a lexeme changes when it is used in different functions.</w:t>
      </w:r>
      <w:r>
        <w:t xml:space="preserve"> </w:t>
      </w:r>
      <w:r w:rsidRPr="00985A7C">
        <w:t>Mithun also has in various studies</w:t>
      </w:r>
      <w:r>
        <w:t xml:space="preserve"> </w:t>
      </w:r>
      <w:r w:rsidR="004A6C18" w:rsidRPr="004A6C18">
        <w:rPr>
          <w:noProof/>
        </w:rPr>
        <w:t>(Mithun 1999; Mithun 2000; Mithun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77777777"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77777777"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w:t>
      </w:r>
      <w:r>
        <w:lastRenderedPageBreak/>
        <w:t>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r>
        <w:t>Functional Motivations for Lexical Flexibility</w:t>
      </w:r>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77777777"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rsidR="002E602A" w:rsidRPr="002E602A">
        <w:rPr>
          <w:noProof/>
        </w:rPr>
        <w:t>(Sapir 1921:117–119; Givón 1979:320–321; Lyons 1977:442–447)</w:t>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w:t>
      </w:r>
      <w:r>
        <w:lastRenderedPageBreak/>
        <w:t>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77777777" w:rsidR="006D192C" w:rsidRDefault="006D192C" w:rsidP="006D192C">
      <w:r w:rsidRPr="006D192C">
        <w:t>A similar point is made by Nakayma</w:t>
      </w:r>
      <w:r>
        <w:t xml:space="preserve"> </w:t>
      </w:r>
      <w:r w:rsidRPr="006D192C">
        <w:rPr>
          <w:noProof/>
        </w:rPr>
        <w:t>(2002)</w:t>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7" w:name="_Ref503355089"/>
      <w:r>
        <w:lastRenderedPageBreak/>
        <w:t>Data &amp; Methods</w:t>
      </w:r>
      <w:bookmarkEnd w:id="7"/>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77777777" w:rsidR="005255A9" w:rsidRDefault="005255A9" w:rsidP="005255A9">
      <w:r>
        <w:t>Th</w:t>
      </w:r>
      <w:r w:rsidR="00A54C27">
        <w:t>e</w:t>
      </w:r>
      <w:r>
        <w:t xml:space="preserve"> language sample for this dissertation will consist in a small number of typologically diverse languages selected on the basis of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77777777" w:rsidR="005255A9" w:rsidRDefault="006F6DDE" w:rsidP="005255A9">
      <w:pPr>
        <w:ind w:firstLine="0"/>
      </w:pPr>
      <w:r>
        <w:t>I currently plan to include at least the following languages in the sample. More may be added if time permits.</w:t>
      </w:r>
    </w:p>
    <w:p w14:paraId="08D89016" w14:textId="77777777" w:rsidR="006F6DDE" w:rsidRPr="006F6DDE" w:rsidRDefault="006F6DDE" w:rsidP="006F6DDE">
      <w:pPr>
        <w:pStyle w:val="ListParagraph"/>
        <w:numPr>
          <w:ilvl w:val="0"/>
          <w:numId w:val="10"/>
        </w:numPr>
        <w:ind w:left="720"/>
        <w:rPr>
          <w:lang w:val="es-MX"/>
        </w:rPr>
      </w:pPr>
      <w:r w:rsidRPr="006F6DDE">
        <w:rPr>
          <w:lang w:val="es-MX"/>
        </w:rPr>
        <w:t>Central Alaskan Yup’ik (Eskimo-A</w:t>
      </w:r>
      <w:r>
        <w:rPr>
          <w:lang w:val="es-MX"/>
        </w:rPr>
        <w:t>leut &gt; Eskimo)</w:t>
      </w:r>
    </w:p>
    <w:p w14:paraId="771C47BF" w14:textId="77777777" w:rsidR="006F6DDE" w:rsidRDefault="006F6DDE" w:rsidP="006F6DDE">
      <w:pPr>
        <w:pStyle w:val="ListParagraph"/>
        <w:numPr>
          <w:ilvl w:val="0"/>
          <w:numId w:val="10"/>
        </w:numPr>
        <w:ind w:left="720"/>
      </w:pPr>
      <w:r>
        <w:t>Chitimacha (isolate)</w:t>
      </w:r>
    </w:p>
    <w:p w14:paraId="12F96D97" w14:textId="77777777" w:rsidR="006F6DDE" w:rsidRDefault="006F6DDE" w:rsidP="006F6DDE">
      <w:pPr>
        <w:pStyle w:val="ListParagraph"/>
        <w:numPr>
          <w:ilvl w:val="0"/>
          <w:numId w:val="10"/>
        </w:numPr>
        <w:ind w:left="720"/>
      </w:pPr>
      <w:r>
        <w:t>English (Indo-European &gt; Germanic)</w:t>
      </w:r>
    </w:p>
    <w:p w14:paraId="05EDEF6F" w14:textId="77777777" w:rsidR="006F6DDE" w:rsidRDefault="006F6DDE" w:rsidP="006F6DDE">
      <w:pPr>
        <w:pStyle w:val="ListParagraph"/>
        <w:numPr>
          <w:ilvl w:val="0"/>
          <w:numId w:val="10"/>
        </w:numPr>
        <w:ind w:left="720"/>
      </w:pPr>
      <w:r>
        <w:t>Nuuchahnulth (</w:t>
      </w:r>
      <w:r w:rsidR="00A54C27">
        <w:t xml:space="preserve">a.k.a. Nootka; </w:t>
      </w:r>
      <w:r>
        <w:t>Wakashan)</w:t>
      </w:r>
    </w:p>
    <w:p w14:paraId="140723EF" w14:textId="77777777" w:rsidR="006F6DDE" w:rsidRPr="006F6DDE" w:rsidRDefault="006F6DDE" w:rsidP="006F6DDE">
      <w:pPr>
        <w:pStyle w:val="ListParagraph"/>
        <w:numPr>
          <w:ilvl w:val="0"/>
          <w:numId w:val="10"/>
        </w:numPr>
        <w:ind w:left="720"/>
        <w:rPr>
          <w:lang w:val="es-MX"/>
        </w:rPr>
      </w:pPr>
      <w:r w:rsidRPr="006F6DDE">
        <w:rPr>
          <w:lang w:val="es-MX"/>
        </w:rPr>
        <w:t>Riau Indonesian (Austronesian &gt; Malayo-Po</w:t>
      </w:r>
      <w:r>
        <w:rPr>
          <w:lang w:val="es-MX"/>
        </w:rPr>
        <w:t>lynesian)</w:t>
      </w:r>
    </w:p>
    <w:p w14:paraId="70FA3A8C" w14:textId="77777777" w:rsidR="006F6DDE" w:rsidRDefault="006F6DDE" w:rsidP="006F6DDE">
      <w:pPr>
        <w:pStyle w:val="ListParagraph"/>
        <w:numPr>
          <w:ilvl w:val="0"/>
          <w:numId w:val="10"/>
        </w:numPr>
        <w:ind w:left="720"/>
      </w:pPr>
      <w:r>
        <w:t>Spanish (Indo-European &gt; Romance)</w:t>
      </w:r>
    </w:p>
    <w:p w14:paraId="4AA50BF0" w14:textId="77777777" w:rsidR="006F6DDE" w:rsidRDefault="006F6DDE" w:rsidP="006F6DDE">
      <w:pPr>
        <w:pStyle w:val="ListParagraph"/>
        <w:numPr>
          <w:ilvl w:val="0"/>
          <w:numId w:val="10"/>
        </w:numPr>
        <w:ind w:left="720"/>
      </w:pPr>
      <w:r>
        <w:t>Swahili (Niger-Congo &gt; Bantu)</w:t>
      </w:r>
    </w:p>
    <w:p w14:paraId="38C7D26D" w14:textId="77777777" w:rsidR="008B45B4" w:rsidRDefault="006F6DDE" w:rsidP="008B45B4">
      <w:r>
        <w:t xml:space="preserve">Each of the 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w:t>
      </w:r>
      <w:r w:rsidR="00014626">
        <w:lastRenderedPageBreak/>
        <w:t xml:space="preserve">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224873">
      <w:pPr>
        <w:pStyle w:val="Caption"/>
        <w:keepNext/>
        <w:spacing w:before="240"/>
        <w:jc w:val="center"/>
      </w:pPr>
      <w:bookmarkStart w:id="8" w:name="_Ref503350959"/>
      <w:r w:rsidRPr="00224873">
        <w:t xml:space="preserve">Table </w:t>
      </w:r>
      <w:fldSimple w:instr=" SEQ Table \* ARABIC ">
        <w:r w:rsidRPr="00224873">
          <w:rPr>
            <w:noProof/>
          </w:rPr>
          <w:t>1</w:t>
        </w:r>
      </w:fldSimple>
      <w:bookmarkEnd w:id="8"/>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414201">
            <w:pPr>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414201">
            <w:pPr>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414201">
            <w:pPr>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414201">
            <w:pPr>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414201">
            <w:pPr>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414201">
            <w:pPr>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414201">
            <w:pPr>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414201">
            <w:pPr>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414201">
            <w:pPr>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414201">
            <w:pPr>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414201">
            <w:pPr>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414201">
            <w:pPr>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414201">
            <w:pPr>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414201">
            <w:pPr>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414201">
            <w:pPr>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414201">
            <w:pPr>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2AB64280" w14:textId="77777777" w:rsidR="00A9656A" w:rsidRPr="00414201" w:rsidRDefault="0001272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414201">
            <w:pPr>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414201">
            <w:pPr>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414201">
            <w:pPr>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414201">
            <w:pPr>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414201">
            <w:pPr>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414201">
            <w:pPr>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414201">
            <w:pPr>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6D3534FC"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414201">
            <w:pPr>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414201">
            <w:pPr>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414201">
            <w:pPr>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414201">
            <w:pPr>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414201">
            <w:pPr>
              <w:spacing w:line="240" w:lineRule="auto"/>
              <w:ind w:firstLine="0"/>
              <w:jc w:val="center"/>
            </w:pPr>
            <w:r w:rsidRPr="00414201">
              <w:t>9</w:t>
            </w:r>
          </w:p>
        </w:tc>
        <w:tc>
          <w:tcPr>
            <w:tcW w:w="857" w:type="dxa"/>
            <w:shd w:val="clear" w:color="auto" w:fill="auto"/>
          </w:tcPr>
          <w:p w14:paraId="6DA310DD" w14:textId="77777777" w:rsidR="00A9656A" w:rsidRPr="00414201" w:rsidRDefault="003652A5"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414201">
            <w:pPr>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414201">
            <w:pPr>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414201">
            <w:pPr>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3ADF84F4"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414201">
            <w:pPr>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414201">
            <w:pPr>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414201">
            <w:pPr>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44858CE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414201">
            <w:pPr>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414201">
            <w:pPr>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414201">
            <w:pPr>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414201">
            <w:pPr>
              <w:spacing w:line="240" w:lineRule="auto"/>
              <w:ind w:firstLine="0"/>
              <w:jc w:val="center"/>
            </w:pPr>
            <w:r w:rsidRPr="00414201">
              <w:t>2</w:t>
            </w:r>
          </w:p>
        </w:tc>
        <w:tc>
          <w:tcPr>
            <w:tcW w:w="857" w:type="dxa"/>
            <w:shd w:val="clear" w:color="auto" w:fill="auto"/>
          </w:tcPr>
          <w:p w14:paraId="2E1ED6A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414201">
            <w:pPr>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414201">
            <w:pPr>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414201">
            <w:pPr>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414201">
            <w:pPr>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414201">
            <w:pPr>
              <w:spacing w:line="240" w:lineRule="auto"/>
              <w:ind w:firstLine="0"/>
              <w:jc w:val="center"/>
            </w:pPr>
            <w:r w:rsidRPr="00414201">
              <w:t>0</w:t>
            </w:r>
          </w:p>
        </w:tc>
        <w:tc>
          <w:tcPr>
            <w:tcW w:w="857" w:type="dxa"/>
            <w:shd w:val="clear" w:color="auto" w:fill="auto"/>
          </w:tcPr>
          <w:p w14:paraId="26DA9C47" w14:textId="77777777" w:rsidR="00A9656A" w:rsidRPr="00414201" w:rsidRDefault="002811C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9EFE901" w14:textId="77777777"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9" w:name="_Ref503178933"/>
      <w:r>
        <w:t>Outline</w:t>
      </w:r>
      <w:bookmarkEnd w:id="9"/>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been assessed for each lexical item in the corpora, subsequent chapters then examine the extent to which that flexibility correlates with </w:t>
      </w:r>
      <w:r>
        <w:lastRenderedPageBreak/>
        <w:t>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77777777"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77777777" w:rsidR="00F170EA" w:rsidRDefault="006E2B40" w:rsidP="001E4C32">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w:t>
      </w:r>
      <w:r w:rsidR="00D6787E">
        <w:lastRenderedPageBreak/>
        <w:t>of a particular semantic domain to undergo metaphorical extensions into the instrumental, positional, movement-oriented, or temporal domains.</w:t>
      </w:r>
    </w:p>
    <w:p w14:paraId="39096F03" w14:textId="77777777"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0619B2" w:rsidRPr="00AD5F4F" w:rsidRDefault="000619B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0619B2" w:rsidRPr="00AD5F4F" w:rsidRDefault="000619B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0619B2" w:rsidRPr="00AD5F4F" w:rsidRDefault="000619B2" w:rsidP="00AD5F4F">
                            <w:pPr>
                              <w:spacing w:line="240" w:lineRule="auto"/>
                              <w:ind w:firstLine="0"/>
                              <w:rPr>
                                <w:sz w:val="22"/>
                              </w:rPr>
                            </w:pPr>
                            <w:r w:rsidRPr="00AD5F4F">
                              <w:rPr>
                                <w:sz w:val="22"/>
                              </w:rPr>
                              <w:t>personal names / kin terms</w:t>
                            </w:r>
                          </w:p>
                          <w:p w14:paraId="722F44B7" w14:textId="77777777" w:rsidR="000619B2" w:rsidRPr="00AD5F4F" w:rsidRDefault="000619B2" w:rsidP="00AD5F4F">
                            <w:pPr>
                              <w:spacing w:line="240" w:lineRule="auto"/>
                              <w:ind w:firstLine="0"/>
                              <w:rPr>
                                <w:sz w:val="22"/>
                              </w:rPr>
                            </w:pPr>
                            <w:r w:rsidRPr="00AD5F4F">
                              <w:rPr>
                                <w:sz w:val="22"/>
                              </w:rPr>
                              <w:t>human animate noun phrases</w:t>
                            </w:r>
                          </w:p>
                          <w:p w14:paraId="1A6C03D7" w14:textId="77777777" w:rsidR="000619B2" w:rsidRPr="00AD5F4F" w:rsidRDefault="000619B2" w:rsidP="00AD5F4F">
                            <w:pPr>
                              <w:spacing w:line="240" w:lineRule="auto"/>
                              <w:ind w:firstLine="0"/>
                              <w:rPr>
                                <w:sz w:val="22"/>
                              </w:rPr>
                            </w:pPr>
                            <w:r w:rsidRPr="00AD5F4F">
                              <w:rPr>
                                <w:sz w:val="22"/>
                              </w:rPr>
                              <w:t>non-human animate noun phrases</w:t>
                            </w:r>
                          </w:p>
                          <w:p w14:paraId="3CDBFD30" w14:textId="77777777" w:rsidR="000619B2" w:rsidRPr="00AD5F4F" w:rsidRDefault="000619B2" w:rsidP="00AD5F4F">
                            <w:pPr>
                              <w:spacing w:line="240" w:lineRule="auto"/>
                              <w:ind w:firstLine="0"/>
                              <w:rPr>
                                <w:sz w:val="22"/>
                              </w:rPr>
                            </w:pPr>
                            <w:r w:rsidRPr="00AD5F4F">
                              <w:rPr>
                                <w:sz w:val="22"/>
                              </w:rPr>
                              <w:t>inanimate noun phrases</w:t>
                            </w:r>
                          </w:p>
                          <w:p w14:paraId="5E8CE91C" w14:textId="77777777" w:rsidR="000619B2" w:rsidRPr="00AD5F4F" w:rsidRDefault="000619B2"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0619B2" w:rsidRPr="00AD5F4F" w:rsidRDefault="000619B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0619B2" w:rsidRPr="00AD5F4F" w:rsidRDefault="000619B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0619B2" w:rsidRPr="00AD5F4F" w:rsidRDefault="000619B2" w:rsidP="00AD5F4F">
                      <w:pPr>
                        <w:spacing w:line="240" w:lineRule="auto"/>
                        <w:ind w:firstLine="0"/>
                        <w:rPr>
                          <w:sz w:val="22"/>
                        </w:rPr>
                      </w:pPr>
                      <w:r w:rsidRPr="00AD5F4F">
                        <w:rPr>
                          <w:sz w:val="22"/>
                        </w:rPr>
                        <w:t>personal names / kin terms</w:t>
                      </w:r>
                    </w:p>
                    <w:p w14:paraId="722F44B7" w14:textId="77777777" w:rsidR="000619B2" w:rsidRPr="00AD5F4F" w:rsidRDefault="000619B2" w:rsidP="00AD5F4F">
                      <w:pPr>
                        <w:spacing w:line="240" w:lineRule="auto"/>
                        <w:ind w:firstLine="0"/>
                        <w:rPr>
                          <w:sz w:val="22"/>
                        </w:rPr>
                      </w:pPr>
                      <w:r w:rsidRPr="00AD5F4F">
                        <w:rPr>
                          <w:sz w:val="22"/>
                        </w:rPr>
                        <w:t>human animate noun phrases</w:t>
                      </w:r>
                    </w:p>
                    <w:p w14:paraId="1A6C03D7" w14:textId="77777777" w:rsidR="000619B2" w:rsidRPr="00AD5F4F" w:rsidRDefault="000619B2" w:rsidP="00AD5F4F">
                      <w:pPr>
                        <w:spacing w:line="240" w:lineRule="auto"/>
                        <w:ind w:firstLine="0"/>
                        <w:rPr>
                          <w:sz w:val="22"/>
                        </w:rPr>
                      </w:pPr>
                      <w:r w:rsidRPr="00AD5F4F">
                        <w:rPr>
                          <w:sz w:val="22"/>
                        </w:rPr>
                        <w:t>non-human animate noun phrases</w:t>
                      </w:r>
                    </w:p>
                    <w:p w14:paraId="3CDBFD30" w14:textId="77777777" w:rsidR="000619B2" w:rsidRPr="00AD5F4F" w:rsidRDefault="000619B2" w:rsidP="00AD5F4F">
                      <w:pPr>
                        <w:spacing w:line="240" w:lineRule="auto"/>
                        <w:ind w:firstLine="0"/>
                        <w:rPr>
                          <w:sz w:val="22"/>
                        </w:rPr>
                      </w:pPr>
                      <w:r w:rsidRPr="00AD5F4F">
                        <w:rPr>
                          <w:sz w:val="22"/>
                        </w:rPr>
                        <w:t>inanimate noun phrases</w:t>
                      </w:r>
                    </w:p>
                    <w:p w14:paraId="5E8CE91C" w14:textId="77777777" w:rsidR="000619B2" w:rsidRPr="00AD5F4F" w:rsidRDefault="000619B2"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0" w:name="_Ref503526122"/>
      <w:r>
        <w:t xml:space="preserve">Figure </w:t>
      </w:r>
      <w:fldSimple w:instr=" SEQ Figure \* ARABIC ">
        <w:r>
          <w:rPr>
            <w:noProof/>
          </w:rPr>
          <w:t>1</w:t>
        </w:r>
      </w:fldSimple>
      <w:bookmarkEnd w:id="10"/>
      <w:r>
        <w:t>. The topicality hierarchy</w:t>
      </w:r>
    </w:p>
    <w:p w14:paraId="5FE94350" w14:textId="77777777"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p>
    <w:p w14:paraId="12C84415" w14:textId="77777777" w:rsidR="00F170EA" w:rsidRPr="00D829E0" w:rsidRDefault="00F170EA" w:rsidP="00F170EA">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 I hypothesize that core property concepts will exhibit a greater degree of lexical flexibility than more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w:t>
      </w:r>
      <w:r>
        <w:lastRenderedPageBreak/>
        <w:t xml:space="preserve">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77777777"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77777777" w:rsidR="007B4469" w:rsidRPr="007B4469" w:rsidRDefault="007B4469" w:rsidP="007B4469">
      <w:r>
        <w:t>I conclude the dissertation by discussing the broader implications of the preceding chapters. In particular, I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67264298" w14:textId="77777777" w:rsidR="00DE6C31" w:rsidRDefault="00DE6C31" w:rsidP="009C5A3B">
      <w:pPr>
        <w:pStyle w:val="Heading1"/>
      </w:pPr>
      <w:r>
        <w:t>Timeline</w:t>
      </w:r>
    </w:p>
    <w:p w14:paraId="41D5B728" w14:textId="77777777" w:rsidR="00CE05AD" w:rsidRDefault="00CE05AD" w:rsidP="00D15672">
      <w:pPr>
        <w:spacing w:after="240"/>
      </w:pPr>
      <w:r>
        <w:t>I hope to complete and defend the dissertation by the end of the 2017–2018 academic year, with the possibility of extending the timeline to a second year. Meeting this goal requires following a rigorous timeline, laid out below.</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78"/>
        <w:gridCol w:w="3344"/>
      </w:tblGrid>
      <w:tr w:rsidR="005B421C" w:rsidRPr="00414201" w14:paraId="58166A5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04FA0" w14:textId="77777777" w:rsidR="005B421C" w:rsidRPr="00414201" w:rsidRDefault="005B421C" w:rsidP="00D63862">
            <w:pPr>
              <w:pageBreakBefore/>
              <w:spacing w:line="240" w:lineRule="auto"/>
              <w:ind w:firstLine="0"/>
              <w:rPr>
                <w:sz w:val="22"/>
              </w:rPr>
            </w:pPr>
            <w:r w:rsidRPr="00414201">
              <w:rPr>
                <w:sz w:val="22"/>
              </w:rPr>
              <w:lastRenderedPageBreak/>
              <w:t>Jan 15 - 26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B7BA6" w14:textId="77777777" w:rsidR="005B421C" w:rsidRPr="00414201" w:rsidRDefault="005B421C" w:rsidP="005B421C">
            <w:pPr>
              <w:spacing w:line="240" w:lineRule="auto"/>
              <w:ind w:firstLine="0"/>
              <w:rPr>
                <w:sz w:val="22"/>
              </w:rPr>
            </w:pPr>
            <w:r w:rsidRPr="00414201">
              <w:rPr>
                <w:sz w:val="22"/>
              </w:rPr>
              <w:t>Committee reads prospectus</w:t>
            </w:r>
          </w:p>
          <w:p w14:paraId="56A376EE" w14:textId="77777777" w:rsidR="005B421C" w:rsidRPr="00414201" w:rsidRDefault="005B421C" w:rsidP="005B421C">
            <w:pPr>
              <w:spacing w:line="240" w:lineRule="auto"/>
              <w:ind w:firstLine="0"/>
              <w:rPr>
                <w:sz w:val="22"/>
              </w:rPr>
            </w:pPr>
            <w:r w:rsidRPr="00414201">
              <w:rPr>
                <w:sz w:val="22"/>
              </w:rPr>
              <w:t>Finish Chapter</w:t>
            </w:r>
            <w:r w:rsidR="00D63862" w:rsidRPr="00414201">
              <w:rPr>
                <w:sz w:val="22"/>
              </w:rPr>
              <w:t xml:space="preserve"> 1</w:t>
            </w:r>
          </w:p>
        </w:tc>
      </w:tr>
      <w:tr w:rsidR="005B421C" w:rsidRPr="00414201" w14:paraId="79818F1E"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987CE" w14:textId="77777777" w:rsidR="005B421C" w:rsidRPr="00414201" w:rsidRDefault="005B421C" w:rsidP="005B421C">
            <w:pPr>
              <w:spacing w:line="240" w:lineRule="auto"/>
              <w:ind w:firstLine="0"/>
              <w:rPr>
                <w:sz w:val="22"/>
              </w:rPr>
            </w:pPr>
            <w:r w:rsidRPr="00414201">
              <w:rPr>
                <w:sz w:val="22"/>
              </w:rPr>
              <w:t>Jan 29 - Feb 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BD6A1" w14:textId="77777777" w:rsidR="005B421C" w:rsidRPr="00414201" w:rsidRDefault="005B421C" w:rsidP="005B421C">
            <w:pPr>
              <w:spacing w:line="240" w:lineRule="auto"/>
              <w:ind w:firstLine="0"/>
              <w:rPr>
                <w:sz w:val="22"/>
              </w:rPr>
            </w:pPr>
            <w:r w:rsidRPr="00414201">
              <w:rPr>
                <w:sz w:val="22"/>
              </w:rPr>
              <w:t>Prospectus revisions</w:t>
            </w:r>
          </w:p>
          <w:p w14:paraId="0DC5D4CE" w14:textId="77777777" w:rsidR="00D63862" w:rsidRPr="00414201" w:rsidRDefault="00D63862" w:rsidP="005B421C">
            <w:pPr>
              <w:spacing w:line="240" w:lineRule="auto"/>
              <w:ind w:firstLine="0"/>
              <w:rPr>
                <w:sz w:val="22"/>
              </w:rPr>
            </w:pPr>
            <w:r w:rsidRPr="00414201">
              <w:rPr>
                <w:sz w:val="22"/>
              </w:rPr>
              <w:t>Finish Chapter 2</w:t>
            </w:r>
          </w:p>
        </w:tc>
      </w:tr>
      <w:tr w:rsidR="005B421C" w:rsidRPr="00414201" w14:paraId="48D9263D"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C5925" w14:textId="77777777" w:rsidR="005B421C" w:rsidRPr="00414201" w:rsidRDefault="005B421C" w:rsidP="005B421C">
            <w:pPr>
              <w:spacing w:line="240" w:lineRule="auto"/>
              <w:ind w:firstLine="0"/>
              <w:rPr>
                <w:sz w:val="22"/>
              </w:rPr>
            </w:pPr>
            <w:r w:rsidRPr="00414201">
              <w:rPr>
                <w:sz w:val="22"/>
              </w:rPr>
              <w:t>Feb 12 - 23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4EC55" w14:textId="77777777" w:rsidR="005B421C" w:rsidRPr="00414201" w:rsidRDefault="005B421C" w:rsidP="005B421C">
            <w:pPr>
              <w:spacing w:line="240" w:lineRule="auto"/>
              <w:ind w:firstLine="0"/>
              <w:rPr>
                <w:sz w:val="22"/>
              </w:rPr>
            </w:pPr>
            <w:r w:rsidRPr="00414201">
              <w:rPr>
                <w:sz w:val="22"/>
              </w:rPr>
              <w:t>Committee reads revised prospectus</w:t>
            </w:r>
          </w:p>
          <w:p w14:paraId="5A7B5783" w14:textId="77777777" w:rsidR="00D63862" w:rsidRPr="00414201" w:rsidRDefault="00D63862" w:rsidP="005B421C">
            <w:pPr>
              <w:spacing w:line="240" w:lineRule="auto"/>
              <w:ind w:firstLine="0"/>
              <w:rPr>
                <w:sz w:val="22"/>
              </w:rPr>
            </w:pPr>
            <w:r w:rsidRPr="00414201">
              <w:rPr>
                <w:sz w:val="22"/>
              </w:rPr>
              <w:t>Finish Chapter 3</w:t>
            </w:r>
          </w:p>
        </w:tc>
      </w:tr>
      <w:tr w:rsidR="005B421C" w:rsidRPr="00414201" w14:paraId="3880B688"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9CD058" w14:textId="77777777" w:rsidR="005B421C" w:rsidRPr="00414201" w:rsidRDefault="005B421C" w:rsidP="005B421C">
            <w:pPr>
              <w:spacing w:line="240" w:lineRule="auto"/>
              <w:ind w:firstLine="0"/>
              <w:rPr>
                <w:sz w:val="22"/>
              </w:rPr>
            </w:pPr>
            <w:r w:rsidRPr="00414201">
              <w:rPr>
                <w:sz w:val="22"/>
              </w:rPr>
              <w:t>Feb 23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1A62D" w14:textId="77777777" w:rsidR="005B421C" w:rsidRPr="00414201" w:rsidRDefault="005B421C" w:rsidP="005B421C">
            <w:pPr>
              <w:spacing w:line="240" w:lineRule="auto"/>
              <w:ind w:firstLine="0"/>
              <w:rPr>
                <w:sz w:val="22"/>
              </w:rPr>
            </w:pPr>
            <w:r w:rsidRPr="00414201">
              <w:rPr>
                <w:sz w:val="22"/>
              </w:rPr>
              <w:t>Prospectus defense</w:t>
            </w:r>
          </w:p>
        </w:tc>
      </w:tr>
      <w:tr w:rsidR="005B421C" w:rsidRPr="00414201" w14:paraId="6C7FF993"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7635C" w14:textId="77777777" w:rsidR="005B421C" w:rsidRPr="00414201" w:rsidRDefault="005B421C" w:rsidP="005B421C">
            <w:pPr>
              <w:spacing w:line="240" w:lineRule="auto"/>
              <w:ind w:firstLine="0"/>
              <w:rPr>
                <w:sz w:val="22"/>
              </w:rPr>
            </w:pPr>
            <w:r w:rsidRPr="00414201">
              <w:rPr>
                <w:sz w:val="22"/>
              </w:rPr>
              <w:t>Feb 26 - April 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BA61A" w14:textId="77777777" w:rsidR="005B421C" w:rsidRPr="00414201" w:rsidRDefault="005B421C" w:rsidP="005B421C">
            <w:pPr>
              <w:spacing w:line="240" w:lineRule="auto"/>
              <w:ind w:firstLine="0"/>
              <w:rPr>
                <w:sz w:val="22"/>
              </w:rPr>
            </w:pPr>
            <w:r w:rsidRPr="00414201">
              <w:rPr>
                <w:sz w:val="22"/>
              </w:rPr>
              <w:t>6 weeks total</w:t>
            </w:r>
          </w:p>
        </w:tc>
      </w:tr>
      <w:tr w:rsidR="00D63862" w:rsidRPr="00414201" w14:paraId="7AD6009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967D35" w14:textId="77777777" w:rsidR="00D63862" w:rsidRPr="00414201" w:rsidRDefault="00D63862" w:rsidP="005B421C">
            <w:pPr>
              <w:spacing w:line="240" w:lineRule="auto"/>
              <w:ind w:firstLine="0"/>
              <w:rPr>
                <w:sz w:val="22"/>
              </w:rPr>
            </w:pP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4E1706" w14:textId="77777777" w:rsidR="00D63862" w:rsidRPr="00414201" w:rsidRDefault="00D63862" w:rsidP="005B421C">
            <w:pPr>
              <w:spacing w:line="240" w:lineRule="auto"/>
              <w:ind w:firstLine="0"/>
              <w:rPr>
                <w:sz w:val="22"/>
              </w:rPr>
            </w:pPr>
            <w:r w:rsidRPr="00414201">
              <w:rPr>
                <w:sz w:val="22"/>
              </w:rPr>
              <w:t>Write Chapter 4 (2 weeks)</w:t>
            </w:r>
          </w:p>
        </w:tc>
      </w:tr>
      <w:tr w:rsidR="005B421C" w:rsidRPr="00414201" w14:paraId="765EF31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0AE23" w14:textId="77777777" w:rsidR="005B421C" w:rsidRPr="00414201" w:rsidRDefault="005B421C" w:rsidP="005B421C">
            <w:pPr>
              <w:spacing w:line="240" w:lineRule="auto"/>
              <w:ind w:firstLine="0"/>
              <w:rPr>
                <w:sz w:val="22"/>
              </w:rPr>
            </w:pPr>
            <w:r w:rsidRPr="0041420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57179" w14:textId="77777777" w:rsidR="005B421C" w:rsidRPr="00414201" w:rsidRDefault="005B421C" w:rsidP="005B421C">
            <w:pPr>
              <w:spacing w:line="240" w:lineRule="auto"/>
              <w:ind w:firstLine="0"/>
              <w:rPr>
                <w:sz w:val="22"/>
              </w:rPr>
            </w:pPr>
            <w:r w:rsidRPr="00414201">
              <w:rPr>
                <w:sz w:val="22"/>
              </w:rPr>
              <w:t>Write Chapter 5 (</w:t>
            </w:r>
            <w:r w:rsidR="00D63862" w:rsidRPr="00414201">
              <w:rPr>
                <w:sz w:val="22"/>
              </w:rPr>
              <w:t>2</w:t>
            </w:r>
            <w:r w:rsidRPr="00414201">
              <w:rPr>
                <w:sz w:val="22"/>
              </w:rPr>
              <w:t xml:space="preserve"> weeks)</w:t>
            </w:r>
          </w:p>
        </w:tc>
      </w:tr>
      <w:tr w:rsidR="005B421C" w:rsidRPr="00414201" w14:paraId="7898ECC7"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FB149" w14:textId="77777777" w:rsidR="005B421C" w:rsidRPr="00414201" w:rsidRDefault="005B421C" w:rsidP="005B421C">
            <w:pPr>
              <w:spacing w:line="240" w:lineRule="auto"/>
              <w:ind w:firstLine="0"/>
              <w:rPr>
                <w:sz w:val="22"/>
              </w:rPr>
            </w:pPr>
            <w:r w:rsidRPr="0041420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11CC2" w14:textId="77777777" w:rsidR="005B421C" w:rsidRPr="00414201" w:rsidRDefault="005B421C" w:rsidP="005B421C">
            <w:pPr>
              <w:spacing w:line="240" w:lineRule="auto"/>
              <w:ind w:firstLine="0"/>
              <w:rPr>
                <w:sz w:val="22"/>
              </w:rPr>
            </w:pPr>
            <w:r w:rsidRPr="00414201">
              <w:rPr>
                <w:sz w:val="22"/>
              </w:rPr>
              <w:t xml:space="preserve">Write </w:t>
            </w:r>
            <w:r w:rsidR="00887B91" w:rsidRPr="00414201">
              <w:rPr>
                <w:sz w:val="22"/>
              </w:rPr>
              <w:t>Conclusion</w:t>
            </w:r>
            <w:r w:rsidRPr="00414201">
              <w:rPr>
                <w:sz w:val="22"/>
              </w:rPr>
              <w:t xml:space="preserve"> (2 weeks)</w:t>
            </w:r>
          </w:p>
        </w:tc>
      </w:tr>
      <w:tr w:rsidR="005B421C" w:rsidRPr="00414201" w14:paraId="26BDD73F"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0983D" w14:textId="77777777" w:rsidR="005B421C" w:rsidRPr="00414201" w:rsidRDefault="005B421C" w:rsidP="005B421C">
            <w:pPr>
              <w:spacing w:line="240" w:lineRule="auto"/>
              <w:ind w:firstLine="0"/>
              <w:rPr>
                <w:sz w:val="22"/>
              </w:rPr>
            </w:pPr>
            <w:r w:rsidRPr="00414201">
              <w:rPr>
                <w:sz w:val="22"/>
              </w:rPr>
              <w:t>April 9 - May 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1F13" w14:textId="77777777" w:rsidR="005B421C" w:rsidRPr="00414201" w:rsidRDefault="005B421C" w:rsidP="005B421C">
            <w:pPr>
              <w:spacing w:line="240" w:lineRule="auto"/>
              <w:ind w:firstLine="0"/>
              <w:rPr>
                <w:sz w:val="22"/>
              </w:rPr>
            </w:pPr>
            <w:r w:rsidRPr="00414201">
              <w:rPr>
                <w:sz w:val="22"/>
              </w:rPr>
              <w:t>Committee reads thesis</w:t>
            </w:r>
          </w:p>
        </w:tc>
      </w:tr>
      <w:tr w:rsidR="005B421C" w:rsidRPr="00414201" w14:paraId="36DF31E6"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76055" w14:textId="77777777" w:rsidR="005B421C" w:rsidRPr="00414201" w:rsidRDefault="005B421C" w:rsidP="005B421C">
            <w:pPr>
              <w:spacing w:line="240" w:lineRule="auto"/>
              <w:ind w:firstLine="0"/>
              <w:rPr>
                <w:sz w:val="22"/>
              </w:rPr>
            </w:pPr>
            <w:r w:rsidRPr="00414201">
              <w:rPr>
                <w:sz w:val="22"/>
              </w:rPr>
              <w:t>May 7 - 18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7770E" w14:textId="77777777" w:rsidR="005B421C" w:rsidRPr="00414201" w:rsidRDefault="005B421C" w:rsidP="005B421C">
            <w:pPr>
              <w:spacing w:line="240" w:lineRule="auto"/>
              <w:ind w:firstLine="0"/>
              <w:rPr>
                <w:sz w:val="22"/>
              </w:rPr>
            </w:pPr>
            <w:r w:rsidRPr="00414201">
              <w:rPr>
                <w:sz w:val="22"/>
              </w:rPr>
              <w:t>Thesis revisions</w:t>
            </w:r>
          </w:p>
        </w:tc>
      </w:tr>
      <w:tr w:rsidR="005B421C" w:rsidRPr="00414201" w14:paraId="698DE3F9"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A07EB" w14:textId="77777777" w:rsidR="005B421C" w:rsidRPr="00414201" w:rsidRDefault="005B421C" w:rsidP="005B421C">
            <w:pPr>
              <w:spacing w:line="240" w:lineRule="auto"/>
              <w:ind w:firstLine="0"/>
              <w:rPr>
                <w:sz w:val="22"/>
              </w:rPr>
            </w:pPr>
            <w:r w:rsidRPr="00414201">
              <w:rPr>
                <w:sz w:val="22"/>
              </w:rPr>
              <w:t>May 21 - 31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E8129" w14:textId="77777777" w:rsidR="005B421C" w:rsidRPr="00414201" w:rsidRDefault="005B421C" w:rsidP="005B421C">
            <w:pPr>
              <w:spacing w:line="240" w:lineRule="auto"/>
              <w:ind w:firstLine="0"/>
              <w:rPr>
                <w:sz w:val="22"/>
              </w:rPr>
            </w:pPr>
            <w:r w:rsidRPr="00414201">
              <w:rPr>
                <w:sz w:val="22"/>
              </w:rPr>
              <w:t>Committee reads revised thesis</w:t>
            </w:r>
          </w:p>
        </w:tc>
      </w:tr>
      <w:tr w:rsidR="005B421C" w:rsidRPr="00414201" w14:paraId="105BDC94"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FBEBF" w14:textId="77777777" w:rsidR="005B421C" w:rsidRPr="00414201" w:rsidRDefault="005B421C" w:rsidP="005B421C">
            <w:pPr>
              <w:spacing w:line="240" w:lineRule="auto"/>
              <w:ind w:firstLine="0"/>
              <w:rPr>
                <w:sz w:val="22"/>
              </w:rPr>
            </w:pPr>
            <w:r w:rsidRPr="00414201">
              <w:rPr>
                <w:sz w:val="22"/>
              </w:rPr>
              <w:t>June 1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F55F74" w14:textId="77777777" w:rsidR="005B421C" w:rsidRPr="00414201" w:rsidRDefault="005B421C" w:rsidP="005B421C">
            <w:pPr>
              <w:spacing w:line="240" w:lineRule="auto"/>
              <w:ind w:firstLine="0"/>
              <w:rPr>
                <w:sz w:val="22"/>
              </w:rPr>
            </w:pPr>
            <w:r w:rsidRPr="00414201">
              <w:rPr>
                <w:sz w:val="22"/>
              </w:rPr>
              <w:t>Thesis defense</w:t>
            </w:r>
          </w:p>
        </w:tc>
      </w:tr>
    </w:tbl>
    <w:p w14:paraId="2F29E1EC" w14:textId="77777777" w:rsidR="00FD59DC" w:rsidRDefault="00DE6C31" w:rsidP="001E4A7C">
      <w:pPr>
        <w:pStyle w:val="Heading1"/>
        <w:pageBreakBefore/>
        <w:numPr>
          <w:ilvl w:val="0"/>
          <w:numId w:val="0"/>
        </w:numPr>
      </w:pPr>
      <w:r>
        <w:lastRenderedPageBreak/>
        <w:t>References</w:t>
      </w:r>
    </w:p>
    <w:p w14:paraId="74CCF180"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Arad, Maya. 2003. Locality constraints on the interpretation of roots: The case of Hebrew denominal verbs. </w:t>
      </w:r>
      <w:r w:rsidRPr="000B1A28">
        <w:rPr>
          <w:i/>
          <w:iCs/>
          <w:noProof/>
        </w:rPr>
        <w:t>Natural Language &amp; Linguistic Theory</w:t>
      </w:r>
      <w:r w:rsidRPr="000B1A28">
        <w:rPr>
          <w:noProof/>
        </w:rPr>
        <w:t xml:space="preserve"> 21. 737–778.</w:t>
      </w:r>
    </w:p>
    <w:p w14:paraId="7559A260"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Baker, Mark &amp; William Croft. 2017. Lexical categories: Legacy, lacuna, and opportunity for functionalists and formalists. </w:t>
      </w:r>
      <w:r w:rsidRPr="000B1A28">
        <w:rPr>
          <w:i/>
          <w:iCs/>
          <w:noProof/>
        </w:rPr>
        <w:t>Annual Review of Linguistics</w:t>
      </w:r>
      <w:r w:rsidRPr="000B1A28">
        <w:rPr>
          <w:noProof/>
        </w:rPr>
        <w:t xml:space="preserve"> 3(2). 1–19. doi:10.1146/annurev-linguistics-011516-034134. http://www.annualreviews.org/doi/10.1146/annurev-linguistics-011516-034134.</w:t>
      </w:r>
    </w:p>
    <w:p w14:paraId="0AB725DA"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Beck, David. 2016. Some language-particular terms are comparative concepts. </w:t>
      </w:r>
      <w:r w:rsidRPr="000B1A28">
        <w:rPr>
          <w:i/>
          <w:iCs/>
          <w:noProof/>
        </w:rPr>
        <w:t>Linguistic Typology</w:t>
      </w:r>
      <w:r w:rsidRPr="000B1A28">
        <w:rPr>
          <w:noProof/>
        </w:rPr>
        <w:t xml:space="preserve"> 20(2). 395–402. doi:10.1515/lingty-2016-0013.</w:t>
      </w:r>
    </w:p>
    <w:p w14:paraId="2F33E21B"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Bickel, Balthasar. 2008. On the scope of the referential hierarchy in the typology of grammatical relations. In Greville G. Corbett &amp; Michael Noonan (eds.), </w:t>
      </w:r>
      <w:r w:rsidRPr="000B1A28">
        <w:rPr>
          <w:i/>
          <w:iCs/>
          <w:noProof/>
        </w:rPr>
        <w:t>Case and grammatical relations: Papers in honor of Bernard Comrie</w:t>
      </w:r>
      <w:r w:rsidRPr="000B1A28">
        <w:rPr>
          <w:noProof/>
        </w:rPr>
        <w:t>, vol. 81, 191–200. (Typological Studies in Language). Amsterdam: John Benjamins.</w:t>
      </w:r>
    </w:p>
    <w:p w14:paraId="7475EB5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Blake, Barry J. 2004. </w:t>
      </w:r>
      <w:r w:rsidRPr="000B1A28">
        <w:rPr>
          <w:i/>
          <w:iCs/>
          <w:noProof/>
        </w:rPr>
        <w:t>Case</w:t>
      </w:r>
      <w:r w:rsidRPr="000B1A28">
        <w:rPr>
          <w:noProof/>
        </w:rPr>
        <w:t>. 2nd ed. (Cambridge Textbooks in Linguistics). Cambridge: Cambridge University Press.</w:t>
      </w:r>
    </w:p>
    <w:p w14:paraId="6AD25806"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Boas, Franz. 1911. Introduction. </w:t>
      </w:r>
      <w:r w:rsidRPr="000B1A28">
        <w:rPr>
          <w:i/>
          <w:iCs/>
          <w:noProof/>
        </w:rPr>
        <w:t>Handbook of American Indian Languages, Part 1</w:t>
      </w:r>
      <w:r w:rsidRPr="000B1A28">
        <w:rPr>
          <w:noProof/>
        </w:rPr>
        <w:t>. (Bureau of American Ethnology Bulletin 40). Washington, D.C.: Smithsonian Institution.</w:t>
      </w:r>
    </w:p>
    <w:p w14:paraId="2287BBEB"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Bois, John W. Du, Wallace L. Chafe, Charles Meyer, Sandra A. Thompson, Robert Englebretson &amp; Mii Martey. 2000. Santa Barbara Corpus of Spoken American English. Philadelphia: Linguistic Data Consortium.</w:t>
      </w:r>
    </w:p>
    <w:p w14:paraId="4C40E2D6"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Broschart, Jürgen. 1997. Why Tongan does it differently: Categorial distinctions in a language without nouns and verbs. </w:t>
      </w:r>
      <w:r w:rsidRPr="000B1A28">
        <w:rPr>
          <w:i/>
          <w:iCs/>
          <w:noProof/>
        </w:rPr>
        <w:t>Linguistic Typology</w:t>
      </w:r>
      <w:r w:rsidRPr="000B1A28">
        <w:rPr>
          <w:noProof/>
        </w:rPr>
        <w:t xml:space="preserve"> 1(1997). 123–165. doi:10.1515/lity.1997.1.2.123.</w:t>
      </w:r>
    </w:p>
    <w:p w14:paraId="704B1BFB"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Cauchard, Aurelie. 2017. Describing lexical flexibility in Caac (New Caledonia). </w:t>
      </w:r>
      <w:r w:rsidRPr="000B1A28">
        <w:rPr>
          <w:i/>
          <w:iCs/>
          <w:noProof/>
        </w:rPr>
        <w:t>Studies in Language</w:t>
      </w:r>
      <w:r w:rsidRPr="000B1A28">
        <w:rPr>
          <w:noProof/>
        </w:rPr>
        <w:t xml:space="preserve"> 41(2). 521–542. doi:10.1075/sl.41.2.09cau. http://www.jbe-platform.com/content/journals/10.1075/sl.41.2.09cau.</w:t>
      </w:r>
    </w:p>
    <w:p w14:paraId="0C7D7023"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Chafe, Wallace. 2012. Are adjectives universal? The case of Northern Iroquoian. </w:t>
      </w:r>
      <w:r w:rsidRPr="000B1A28">
        <w:rPr>
          <w:i/>
          <w:iCs/>
          <w:noProof/>
        </w:rPr>
        <w:t>Linguistic Typology</w:t>
      </w:r>
      <w:r w:rsidRPr="000B1A28">
        <w:rPr>
          <w:noProof/>
        </w:rPr>
        <w:t xml:space="preserve"> 16(1). 1–39. doi:10.1515/lingty-2012-0001.</w:t>
      </w:r>
    </w:p>
    <w:p w14:paraId="43439D3F"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Chung, Sandra. 2012. Are lexical categories universal? The view from Chamorro. </w:t>
      </w:r>
      <w:r w:rsidRPr="000B1A28">
        <w:rPr>
          <w:i/>
          <w:iCs/>
          <w:noProof/>
        </w:rPr>
        <w:t>Theoretical Linguistics</w:t>
      </w:r>
      <w:r w:rsidRPr="000B1A28">
        <w:rPr>
          <w:noProof/>
        </w:rPr>
        <w:t xml:space="preserve"> 38(1–2). 1–56. doi:10.1515/tl-2012-0001.</w:t>
      </w:r>
    </w:p>
    <w:p w14:paraId="13F44C03"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Comrie, Bernard. 1978. Ergativity. In Winfred P. Lehmann (ed.), </w:t>
      </w:r>
      <w:r w:rsidRPr="000B1A28">
        <w:rPr>
          <w:i/>
          <w:iCs/>
          <w:noProof/>
        </w:rPr>
        <w:t>Syntactic typology: Studies in the phenomenology of language</w:t>
      </w:r>
      <w:r w:rsidRPr="000B1A28">
        <w:rPr>
          <w:noProof/>
        </w:rPr>
        <w:t>, 329–394. Austin: University of Texas Press.</w:t>
      </w:r>
    </w:p>
    <w:p w14:paraId="1E14C591"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Comrie, Bernard. 1981. </w:t>
      </w:r>
      <w:r w:rsidRPr="000B1A28">
        <w:rPr>
          <w:i/>
          <w:iCs/>
          <w:noProof/>
        </w:rPr>
        <w:t>Language universals and linguistic typology: Syntax and morphology</w:t>
      </w:r>
      <w:r w:rsidRPr="000B1A28">
        <w:rPr>
          <w:noProof/>
        </w:rPr>
        <w:t>. 2nd ed. Chicago: University of Chicago Press.</w:t>
      </w:r>
    </w:p>
    <w:p w14:paraId="1DEC012D"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Corbett, Greville G. 2000. </w:t>
      </w:r>
      <w:r w:rsidRPr="000B1A28">
        <w:rPr>
          <w:i/>
          <w:iCs/>
          <w:noProof/>
        </w:rPr>
        <w:t>Number</w:t>
      </w:r>
      <w:r w:rsidRPr="000B1A28">
        <w:rPr>
          <w:noProof/>
        </w:rPr>
        <w:t>. (Cambridge Textbooks in Linguistics). Cambridge: Cambridge University Press. doi:10.1017/CBO9781107415324.004.</w:t>
      </w:r>
    </w:p>
    <w:p w14:paraId="01F5E95A"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Croft, William. 1990. A conceptual framework for grammatical categories (or: A taxonomy of propositional acts). </w:t>
      </w:r>
      <w:r w:rsidRPr="000B1A28">
        <w:rPr>
          <w:i/>
          <w:iCs/>
          <w:noProof/>
        </w:rPr>
        <w:t>Journal of Semantics</w:t>
      </w:r>
      <w:r w:rsidRPr="000B1A28">
        <w:rPr>
          <w:noProof/>
        </w:rPr>
        <w:t xml:space="preserve"> 7(3). 245–280.</w:t>
      </w:r>
    </w:p>
    <w:p w14:paraId="5205D88B"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lastRenderedPageBreak/>
        <w:t xml:space="preserve">Croft, William. 2000. Parts of speech as language universals and as language-particular categories. In Petra M. Vogel &amp; Bernard Comrie (eds.), </w:t>
      </w:r>
      <w:r w:rsidRPr="000B1A28">
        <w:rPr>
          <w:i/>
          <w:iCs/>
          <w:noProof/>
        </w:rPr>
        <w:t>Approaches to the typology of word classes</w:t>
      </w:r>
      <w:r w:rsidRPr="000B1A28">
        <w:rPr>
          <w:noProof/>
        </w:rPr>
        <w:t>, 65–102. (Empirical Approaches to Language Typology 23). Berlin: Mouton de Gruyter.</w:t>
      </w:r>
    </w:p>
    <w:p w14:paraId="455124D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Croft, William. 2001. </w:t>
      </w:r>
      <w:r w:rsidRPr="000B1A28">
        <w:rPr>
          <w:i/>
          <w:iCs/>
          <w:noProof/>
        </w:rPr>
        <w:t>Radical Construction Grammar: Syntactic theory in typological perspective</w:t>
      </w:r>
      <w:r w:rsidRPr="000B1A28">
        <w:rPr>
          <w:noProof/>
        </w:rPr>
        <w:t>. Oxford: Oxford University Press.</w:t>
      </w:r>
    </w:p>
    <w:p w14:paraId="54FF1C81"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Croft, William. 2002. </w:t>
      </w:r>
      <w:r w:rsidRPr="000B1A28">
        <w:rPr>
          <w:i/>
          <w:iCs/>
          <w:noProof/>
        </w:rPr>
        <w:t>Typology and universals</w:t>
      </w:r>
      <w:r w:rsidRPr="000B1A28">
        <w:rPr>
          <w:noProof/>
        </w:rPr>
        <w:t>. 2nd ed. (Cambridge Textbooks in Linguistics). Cambridge: Cambridge University Press.</w:t>
      </w:r>
    </w:p>
    <w:p w14:paraId="59F556E1"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Croft, William. 2005. Word classes, parts of speech, and syntactic argumentation. </w:t>
      </w:r>
      <w:r w:rsidRPr="000B1A28">
        <w:rPr>
          <w:i/>
          <w:iCs/>
          <w:noProof/>
        </w:rPr>
        <w:t>Linguistic Typology</w:t>
      </w:r>
      <w:r w:rsidRPr="000B1A28">
        <w:rPr>
          <w:noProof/>
        </w:rPr>
        <w:t xml:space="preserve"> 9(3). 431–441. doi:10.1515/lity.2005.9.3.391.</w:t>
      </w:r>
    </w:p>
    <w:p w14:paraId="3412E3A9"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Croft, William. 2016. Comparative concepts and language-specific categories: Theory and practice. </w:t>
      </w:r>
      <w:r w:rsidRPr="000B1A28">
        <w:rPr>
          <w:i/>
          <w:iCs/>
          <w:noProof/>
        </w:rPr>
        <w:t>Linguistic Typology</w:t>
      </w:r>
      <w:r w:rsidRPr="000B1A28">
        <w:rPr>
          <w:noProof/>
        </w:rPr>
        <w:t xml:space="preserve"> 20(2). 377–393. doi:10.1515/lingty-2016-0012.</w:t>
      </w:r>
    </w:p>
    <w:p w14:paraId="53B48FC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Croft, William &amp; Eva van Lier. 2012. Language universals without universal categories. </w:t>
      </w:r>
      <w:r w:rsidRPr="000B1A28">
        <w:rPr>
          <w:i/>
          <w:iCs/>
          <w:noProof/>
        </w:rPr>
        <w:t>Theoretical Linguistics</w:t>
      </w:r>
      <w:r w:rsidRPr="000B1A28">
        <w:rPr>
          <w:noProof/>
        </w:rPr>
        <w:t xml:space="preserve"> 38(1–2). 57–72. doi:10.1515/tl-2012-0002.</w:t>
      </w:r>
    </w:p>
    <w:p w14:paraId="50FCA6C6"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Crystal, David. 2008. </w:t>
      </w:r>
      <w:r w:rsidRPr="000B1A28">
        <w:rPr>
          <w:i/>
          <w:iCs/>
          <w:noProof/>
        </w:rPr>
        <w:t>A dictionary of linguistics and phonetics</w:t>
      </w:r>
      <w:r w:rsidRPr="000B1A28">
        <w:rPr>
          <w:noProof/>
        </w:rPr>
        <w:t>. 6th ed. (The Language Library). Blackwell.</w:t>
      </w:r>
    </w:p>
    <w:p w14:paraId="0796DFD6"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DeLancey, Scot. 1981. An interpretation of split ergativity and related patterns. </w:t>
      </w:r>
      <w:r w:rsidRPr="000B1A28">
        <w:rPr>
          <w:i/>
          <w:iCs/>
          <w:noProof/>
        </w:rPr>
        <w:t>Language</w:t>
      </w:r>
      <w:r w:rsidRPr="000B1A28">
        <w:rPr>
          <w:noProof/>
        </w:rPr>
        <w:t xml:space="preserve"> 57(3). 626–657.</w:t>
      </w:r>
    </w:p>
    <w:p w14:paraId="4215C96B"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Dixon, R. M. W. 1979. Ergativity. </w:t>
      </w:r>
      <w:r w:rsidRPr="000B1A28">
        <w:rPr>
          <w:i/>
          <w:iCs/>
          <w:noProof/>
        </w:rPr>
        <w:t>Language</w:t>
      </w:r>
      <w:r w:rsidRPr="000B1A28">
        <w:rPr>
          <w:noProof/>
        </w:rPr>
        <w:t xml:space="preserve"> 55(1). 59–138.</w:t>
      </w:r>
    </w:p>
    <w:p w14:paraId="58DCDBF2"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Dixon, R. M. W. 1994. </w:t>
      </w:r>
      <w:r w:rsidRPr="000B1A28">
        <w:rPr>
          <w:i/>
          <w:iCs/>
          <w:noProof/>
        </w:rPr>
        <w:t>Ergativity</w:t>
      </w:r>
      <w:r w:rsidRPr="000B1A28">
        <w:rPr>
          <w:noProof/>
        </w:rPr>
        <w:t>. . Vol. 69. (Cambridge Studies in Linguistics). Cambridge: Cambridge University Press.</w:t>
      </w:r>
    </w:p>
    <w:p w14:paraId="2BEEB718"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Dixon, Robert M. W. 1977. Where have all the adjectives gone? </w:t>
      </w:r>
      <w:r w:rsidRPr="000B1A28">
        <w:rPr>
          <w:i/>
          <w:iCs/>
          <w:noProof/>
        </w:rPr>
        <w:t>Studies in Language</w:t>
      </w:r>
      <w:r w:rsidRPr="000B1A28">
        <w:rPr>
          <w:noProof/>
        </w:rPr>
        <w:t xml:space="preserve"> 1(1). 19–80.</w:t>
      </w:r>
    </w:p>
    <w:p w14:paraId="7FF2E7EF"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Dixon, Robert M. W. 1982. </w:t>
      </w:r>
      <w:r w:rsidRPr="000B1A28">
        <w:rPr>
          <w:i/>
          <w:iCs/>
          <w:noProof/>
        </w:rPr>
        <w:t>Where have all the adjectives gone? and other essays in Semantics and Syntax</w:t>
      </w:r>
      <w:r w:rsidRPr="000B1A28">
        <w:rPr>
          <w:noProof/>
        </w:rPr>
        <w:t xml:space="preserve">. </w:t>
      </w:r>
      <w:r w:rsidRPr="000B1A28">
        <w:rPr>
          <w:i/>
          <w:iCs/>
          <w:noProof/>
        </w:rPr>
        <w:t>Studies in Language</w:t>
      </w:r>
      <w:r w:rsidRPr="000B1A28">
        <w:rPr>
          <w:noProof/>
        </w:rPr>
        <w:t>. doi:10.1038/014265a0.</w:t>
      </w:r>
    </w:p>
    <w:p w14:paraId="24B8C253"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Dixon, Robert M. W. 2004. Adjective classes in typological perspective. In Robert M. W. Dixon &amp; Alexandra Y. Aikhenvald (eds.), </w:t>
      </w:r>
      <w:r w:rsidRPr="000B1A28">
        <w:rPr>
          <w:i/>
          <w:iCs/>
          <w:noProof/>
        </w:rPr>
        <w:t>Adjective classes: A cross-linguistic typology</w:t>
      </w:r>
      <w:r w:rsidRPr="000B1A28">
        <w:rPr>
          <w:noProof/>
        </w:rPr>
        <w:t>, 1–49. (Explorations in Linguistic Typology 1). Oxford: Oxford University Press.</w:t>
      </w:r>
    </w:p>
    <w:p w14:paraId="5F039F6D"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Don, Jan. 2004. Categories in the lexicon. </w:t>
      </w:r>
      <w:r w:rsidRPr="000B1A28">
        <w:rPr>
          <w:i/>
          <w:iCs/>
          <w:noProof/>
        </w:rPr>
        <w:t>Linguistics</w:t>
      </w:r>
      <w:r w:rsidRPr="000B1A28">
        <w:rPr>
          <w:noProof/>
        </w:rPr>
        <w:t xml:space="preserve"> 42(5). 931–956. doi:10.1515/ling.2004.033.</w:t>
      </w:r>
    </w:p>
    <w:p w14:paraId="2907F80F"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Don, Jan &amp; Eva van Lier. 2003. Derivation and categorization in flexible and differentiated languages. In Jan Rijkhoff &amp; Eva van Lier (eds.), </w:t>
      </w:r>
      <w:r w:rsidRPr="000B1A28">
        <w:rPr>
          <w:i/>
          <w:iCs/>
          <w:noProof/>
        </w:rPr>
        <w:t>Flexible word classes: Typological studies of underspecified parts of speech</w:t>
      </w:r>
      <w:r w:rsidRPr="000B1A28">
        <w:rPr>
          <w:noProof/>
        </w:rPr>
        <w:t>, 56–88. Oxford: Oxford University Press.</w:t>
      </w:r>
    </w:p>
    <w:p w14:paraId="31C41AA9"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Dorvlo, Kofi. 2009. Does Logba have an adjective class? . 95–105.</w:t>
      </w:r>
    </w:p>
    <w:p w14:paraId="4B3F9C9C"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Eijk, Jan P. Van &amp; Thom Hess. 1986. Noun and verb in Salish. </w:t>
      </w:r>
      <w:r w:rsidRPr="000B1A28">
        <w:rPr>
          <w:i/>
          <w:iCs/>
          <w:noProof/>
        </w:rPr>
        <w:t>Lingua</w:t>
      </w:r>
      <w:r w:rsidRPr="000B1A28">
        <w:rPr>
          <w:noProof/>
        </w:rPr>
        <w:t xml:space="preserve"> 69(4). 319–331. doi:10.1016/0024-3841(86)90061-6.</w:t>
      </w:r>
    </w:p>
    <w:p w14:paraId="6267F6FE"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Evans, Nicholas &amp; Toshiki Osada. 2005. Mundari: The myth of a language without word classes. </w:t>
      </w:r>
      <w:r w:rsidRPr="000B1A28">
        <w:rPr>
          <w:i/>
          <w:iCs/>
          <w:noProof/>
        </w:rPr>
        <w:t>Linguistic Typology</w:t>
      </w:r>
      <w:r w:rsidRPr="000B1A28">
        <w:rPr>
          <w:noProof/>
        </w:rPr>
        <w:t xml:space="preserve"> 9(2005). 351–390. doi:10.1515/lity.2005.9.3.351.</w:t>
      </w:r>
    </w:p>
    <w:p w14:paraId="497B64CF"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Farrell, Patrick. 2001. Functional shift as category underspecification. </w:t>
      </w:r>
      <w:r w:rsidRPr="000B1A28">
        <w:rPr>
          <w:i/>
          <w:iCs/>
          <w:noProof/>
        </w:rPr>
        <w:t xml:space="preserve">English Language &amp; </w:t>
      </w:r>
      <w:r w:rsidRPr="000B1A28">
        <w:rPr>
          <w:i/>
          <w:iCs/>
          <w:noProof/>
        </w:rPr>
        <w:lastRenderedPageBreak/>
        <w:t>Linguistics</w:t>
      </w:r>
      <w:r w:rsidRPr="000B1A28">
        <w:rPr>
          <w:noProof/>
        </w:rPr>
        <w:t xml:space="preserve"> 5(1). 109–130. doi:10.1017/S1360674301000156.</w:t>
      </w:r>
    </w:p>
    <w:p w14:paraId="1DD740AD"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Filimonova, Elena. 2005. The noun phrase hierarchy and relational marking: Problems and counterevidence. </w:t>
      </w:r>
      <w:r w:rsidRPr="000B1A28">
        <w:rPr>
          <w:i/>
          <w:iCs/>
          <w:noProof/>
        </w:rPr>
        <w:t>Linguistic Typology</w:t>
      </w:r>
      <w:r w:rsidRPr="000B1A28">
        <w:rPr>
          <w:noProof/>
        </w:rPr>
        <w:t xml:space="preserve"> 9(1). 77–113. doi:10.1515/lity.2005.9.1.77.</w:t>
      </w:r>
    </w:p>
    <w:p w14:paraId="65D900C4"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Floyd, Simeon. 2011. Re-discovering the Quechua adjective. </w:t>
      </w:r>
      <w:r w:rsidRPr="000B1A28">
        <w:rPr>
          <w:i/>
          <w:iCs/>
          <w:noProof/>
        </w:rPr>
        <w:t>Linguistic Typology</w:t>
      </w:r>
      <w:r w:rsidRPr="000B1A28">
        <w:rPr>
          <w:noProof/>
        </w:rPr>
        <w:t xml:space="preserve"> 15(1). 25–63. doi:10.1515/LITY.2011.003.</w:t>
      </w:r>
    </w:p>
    <w:p w14:paraId="50FF49D3"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François, Alexandre. 2017. The economy of word classes in Hiw, Vanuatu. </w:t>
      </w:r>
      <w:r w:rsidRPr="000B1A28">
        <w:rPr>
          <w:i/>
          <w:iCs/>
          <w:noProof/>
        </w:rPr>
        <w:t>Studies in Language</w:t>
      </w:r>
      <w:r w:rsidRPr="000B1A28">
        <w:rPr>
          <w:noProof/>
        </w:rPr>
        <w:t xml:space="preserve"> 41(2). 294–357. doi:10.1075/sl.41.2.03fra. http://www.jbe-platform.com/content/journals/10.1075/sl.41.2.03fra.</w:t>
      </w:r>
    </w:p>
    <w:p w14:paraId="6CC00FB2"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Gil, David. 2005. Isolating-monocategorial-associational language. In Henri Cohen &amp; Claire Lefebvre (eds.), </w:t>
      </w:r>
      <w:r w:rsidRPr="000B1A28">
        <w:rPr>
          <w:i/>
          <w:iCs/>
          <w:noProof/>
        </w:rPr>
        <w:t>Handbook of categorization in cognitive science</w:t>
      </w:r>
      <w:r w:rsidRPr="000B1A28">
        <w:rPr>
          <w:noProof/>
        </w:rPr>
        <w:t>, 348–377. Amsterdam: Elsevier.</w:t>
      </w:r>
    </w:p>
    <w:p w14:paraId="1F271D05"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Givón, Talmy. 1979. </w:t>
      </w:r>
      <w:r w:rsidRPr="000B1A28">
        <w:rPr>
          <w:i/>
          <w:iCs/>
          <w:noProof/>
        </w:rPr>
        <w:t>On understanding grammar</w:t>
      </w:r>
      <w:r w:rsidRPr="000B1A28">
        <w:rPr>
          <w:noProof/>
        </w:rPr>
        <w:t>. (Perspectives in Neurolinguistics &amp; Psycholinguistics). New York: Academic Press.</w:t>
      </w:r>
    </w:p>
    <w:p w14:paraId="3A911E4F"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Harris, Zellig. 1951. </w:t>
      </w:r>
      <w:r w:rsidRPr="000B1A28">
        <w:rPr>
          <w:i/>
          <w:iCs/>
          <w:noProof/>
        </w:rPr>
        <w:t>Methods in structural linguistics</w:t>
      </w:r>
      <w:r w:rsidRPr="000B1A28">
        <w:rPr>
          <w:noProof/>
        </w:rPr>
        <w:t>. Chicago: University of Chicago Press.</w:t>
      </w:r>
    </w:p>
    <w:p w14:paraId="6C44A034"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Haspelmath, Martin. 2007. Pre-established categories don’t exist: Consequences for language description and typology. </w:t>
      </w:r>
      <w:r w:rsidRPr="000B1A28">
        <w:rPr>
          <w:i/>
          <w:iCs/>
          <w:noProof/>
        </w:rPr>
        <w:t>Linguistic Typology</w:t>
      </w:r>
      <w:r w:rsidRPr="000B1A28">
        <w:rPr>
          <w:noProof/>
        </w:rPr>
        <w:t xml:space="preserve"> 11(1). 119–132. doi:10.1515/LINGTY.2007.011.</w:t>
      </w:r>
    </w:p>
    <w:p w14:paraId="1FC2CD20"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Haspelmath, Martin. 2010. The interplay between comparative concepts and descriptive categories (Reply to Newmeyer). </w:t>
      </w:r>
      <w:r w:rsidRPr="000B1A28">
        <w:rPr>
          <w:i/>
          <w:iCs/>
          <w:noProof/>
        </w:rPr>
        <w:t>Language</w:t>
      </w:r>
      <w:r w:rsidRPr="000B1A28">
        <w:rPr>
          <w:noProof/>
        </w:rPr>
        <w:t xml:space="preserve"> 86(3). 696–699. doi:10.1353/lan.2010.0021. http://muse.jhu.edu/content/crossref/journals/language/v086/86.3.haspelmath01.html.</w:t>
      </w:r>
    </w:p>
    <w:p w14:paraId="0F43FD33"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shift. </w:t>
      </w:r>
      <w:r w:rsidRPr="000B1A28">
        <w:rPr>
          <w:i/>
          <w:iCs/>
          <w:noProof/>
        </w:rPr>
        <w:t>History &amp; Philosophy of the Language Sciences</w:t>
      </w:r>
      <w:r w:rsidRPr="000B1A28">
        <w:rPr>
          <w:noProof/>
        </w:rPr>
        <w:t>. https://hiphilangsci.net/2014/10/08/non-universality-of-word-classes-and-words-the-mid-20th-century-shift/.</w:t>
      </w:r>
    </w:p>
    <w:p w14:paraId="3E554653"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Hengeveld, Kees. 1992. </w:t>
      </w:r>
      <w:r w:rsidRPr="000B1A28">
        <w:rPr>
          <w:i/>
          <w:iCs/>
          <w:noProof/>
        </w:rPr>
        <w:t>Non-verbal predication: Theory, typology, diachrony</w:t>
      </w:r>
      <w:r w:rsidRPr="000B1A28">
        <w:rPr>
          <w:noProof/>
        </w:rPr>
        <w:t>. (Functional Grammar Series 15). Berlin: Mouton de Gruyter.</w:t>
      </w:r>
    </w:p>
    <w:p w14:paraId="6877ABDA"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Hengeveld, Kees &amp; Jan Rijkhoff. 2005. Mundari as a flexible language. </w:t>
      </w:r>
      <w:r w:rsidRPr="000B1A28">
        <w:rPr>
          <w:i/>
          <w:iCs/>
          <w:noProof/>
        </w:rPr>
        <w:t>Linguistic Typology</w:t>
      </w:r>
      <w:r w:rsidRPr="000B1A28">
        <w:rPr>
          <w:noProof/>
        </w:rPr>
        <w:t xml:space="preserve"> 9(3). 406–431. doi:10.1515/lity.2005.9.3.391.</w:t>
      </w:r>
    </w:p>
    <w:p w14:paraId="5208B1E5"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Hengeveld, Kees, Jan Rijkhoff &amp; Anna Siewierska. 2004. Parts-of-speech systems and word order. </w:t>
      </w:r>
      <w:r w:rsidRPr="000B1A28">
        <w:rPr>
          <w:i/>
          <w:iCs/>
          <w:noProof/>
        </w:rPr>
        <w:t>Journal of Linguistics</w:t>
      </w:r>
      <w:r w:rsidRPr="000B1A28">
        <w:rPr>
          <w:noProof/>
        </w:rPr>
        <w:t xml:space="preserve"> 40(3). 527–570. doi:10.1017/S0022226704002762.</w:t>
      </w:r>
    </w:p>
    <w:p w14:paraId="329D8704"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Holton, Gary. 1999. Categoriality of property words in a switch-adjective language. </w:t>
      </w:r>
      <w:r w:rsidRPr="000B1A28">
        <w:rPr>
          <w:i/>
          <w:iCs/>
          <w:noProof/>
        </w:rPr>
        <w:t>Linguistic Typology</w:t>
      </w:r>
      <w:r w:rsidRPr="000B1A28">
        <w:rPr>
          <w:noProof/>
        </w:rPr>
        <w:t xml:space="preserve"> 3(3). 341–360. doi:10.1515/lity.1999.3.3.341. http://www.degruyter.com/view/j/lity.1999.3.issue-3/lity.1999.3.3.341/lity.1999.3.3.341.xml.</w:t>
      </w:r>
    </w:p>
    <w:p w14:paraId="605182B6"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Hopper, Paul J. &amp; Sandra A. Thompson. 1984. The discourse basis for lexical categories in Universal Grammar. </w:t>
      </w:r>
      <w:r w:rsidRPr="000B1A28">
        <w:rPr>
          <w:i/>
          <w:iCs/>
          <w:noProof/>
        </w:rPr>
        <w:t>Language</w:t>
      </w:r>
      <w:r w:rsidRPr="000B1A28">
        <w:rPr>
          <w:noProof/>
        </w:rPr>
        <w:t xml:space="preserve"> 60(4). 703–752. doi:10.1371/journal.pone.0005772. http://www.jstor.org/stable/413797.</w:t>
      </w:r>
    </w:p>
    <w:p w14:paraId="32106D4A"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Hopper, Paul J. &amp; Elizabeth Closs Traugott. 2003. </w:t>
      </w:r>
      <w:r w:rsidRPr="000B1A28">
        <w:rPr>
          <w:i/>
          <w:iCs/>
          <w:noProof/>
        </w:rPr>
        <w:t>Grammaticalization</w:t>
      </w:r>
      <w:r w:rsidRPr="000B1A28">
        <w:rPr>
          <w:noProof/>
        </w:rPr>
        <w:t>. 2nd ed. (Cambridge Textbooks in Linguistics). Cambridge: Cambridge University Press.</w:t>
      </w:r>
    </w:p>
    <w:p w14:paraId="3B3D7C4F"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Jacobsen, William H. 1979. Noun and verb in Nootkan. In Barbara S. Efrat (ed.), </w:t>
      </w:r>
      <w:r w:rsidRPr="000B1A28">
        <w:rPr>
          <w:i/>
          <w:iCs/>
          <w:noProof/>
        </w:rPr>
        <w:t xml:space="preserve">The Victoria </w:t>
      </w:r>
      <w:r w:rsidRPr="000B1A28">
        <w:rPr>
          <w:i/>
          <w:iCs/>
          <w:noProof/>
        </w:rPr>
        <w:lastRenderedPageBreak/>
        <w:t>conference on northwestern languages</w:t>
      </w:r>
      <w:r w:rsidRPr="000B1A28">
        <w:rPr>
          <w:noProof/>
        </w:rPr>
        <w:t>, 83–155. Victoria, B.C.: British Columbia Provincial Museum.</w:t>
      </w:r>
    </w:p>
    <w:p w14:paraId="40D6C70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Kinkade, M. Dale. 1983. Salish evidence against the universality of “noun” and “verb.” </w:t>
      </w:r>
      <w:r w:rsidRPr="000B1A28">
        <w:rPr>
          <w:i/>
          <w:iCs/>
          <w:noProof/>
        </w:rPr>
        <w:t>Lingua</w:t>
      </w:r>
      <w:r w:rsidRPr="000B1A28">
        <w:rPr>
          <w:noProof/>
        </w:rPr>
        <w:t xml:space="preserve"> 60(1). 25–39. doi:10.1016/0024-3841(83)90045-1.</w:t>
      </w:r>
    </w:p>
    <w:p w14:paraId="0A9E39B4"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Koch, Karsten &amp; Lisa Matthewson. 2009. The lexical category debate in Salish and its relevance for Tagalog. </w:t>
      </w:r>
      <w:r w:rsidRPr="000B1A28">
        <w:rPr>
          <w:i/>
          <w:iCs/>
          <w:noProof/>
        </w:rPr>
        <w:t>Theoretical Linguistics</w:t>
      </w:r>
      <w:r w:rsidRPr="000B1A28">
        <w:rPr>
          <w:noProof/>
        </w:rPr>
        <w:t xml:space="preserve"> 35(1). 125–137. doi:10.1515/THLI.2009.007.</w:t>
      </w:r>
    </w:p>
    <w:p w14:paraId="73185FEA"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Kuipers, Aert H. 1968. The categories verb-noun and transitive-intransitive in English and Squamish. </w:t>
      </w:r>
      <w:r w:rsidRPr="000B1A28">
        <w:rPr>
          <w:i/>
          <w:iCs/>
          <w:noProof/>
        </w:rPr>
        <w:t>Lingua</w:t>
      </w:r>
      <w:r w:rsidRPr="000B1A28">
        <w:rPr>
          <w:noProof/>
        </w:rPr>
        <w:t xml:space="preserve"> 21. 610–626. doi:10.1016/0024-3841(68)90080-6.</w:t>
      </w:r>
    </w:p>
    <w:p w14:paraId="092496B0"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Lakoff, George. 1987. </w:t>
      </w:r>
      <w:r w:rsidRPr="000B1A28">
        <w:rPr>
          <w:i/>
          <w:iCs/>
          <w:noProof/>
        </w:rPr>
        <w:t>Women, fire, and dangerous things: What categories reveal about the mind</w:t>
      </w:r>
      <w:r w:rsidRPr="000B1A28">
        <w:rPr>
          <w:noProof/>
        </w:rPr>
        <w:t xml:space="preserve">. </w:t>
      </w:r>
      <w:r w:rsidRPr="000B1A28">
        <w:rPr>
          <w:i/>
          <w:iCs/>
          <w:noProof/>
        </w:rPr>
        <w:t>Mind &amp; Language</w:t>
      </w:r>
      <w:r w:rsidRPr="000B1A28">
        <w:rPr>
          <w:noProof/>
        </w:rPr>
        <w:t>. Chicago: University of Chicago Press. doi:10.1111/j.1468-0017.1989.tb00245.x.</w:t>
      </w:r>
    </w:p>
    <w:p w14:paraId="5BB58905"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Lichtenberk, Frank. 2017. Lexical and grammatical flexibility in Toqabaqita. </w:t>
      </w:r>
      <w:r w:rsidRPr="000B1A28">
        <w:rPr>
          <w:i/>
          <w:iCs/>
          <w:noProof/>
        </w:rPr>
        <w:t>Studies in Language</w:t>
      </w:r>
      <w:r w:rsidRPr="000B1A28">
        <w:rPr>
          <w:noProof/>
        </w:rPr>
        <w:t xml:space="preserve"> 41(2). 496–501. doi:10.1075/sl.41.2.07lic. http://www.jbe-platform.com/content/journals/10.1075/sl.41.2.07lic.</w:t>
      </w:r>
    </w:p>
    <w:p w14:paraId="5E566FAA"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Lier, Eva van. 2006. </w:t>
      </w:r>
      <w:r w:rsidRPr="000B1A28">
        <w:rPr>
          <w:i/>
          <w:iCs/>
          <w:noProof/>
        </w:rPr>
        <w:t>Parts-of-speech systems and dependent clauses: A typological study</w:t>
      </w:r>
      <w:r w:rsidRPr="000B1A28">
        <w:rPr>
          <w:noProof/>
        </w:rPr>
        <w:t xml:space="preserve">. </w:t>
      </w:r>
      <w:r w:rsidRPr="000B1A28">
        <w:rPr>
          <w:i/>
          <w:iCs/>
          <w:noProof/>
        </w:rPr>
        <w:t>Folia Linguistica</w:t>
      </w:r>
      <w:r w:rsidRPr="000B1A28">
        <w:rPr>
          <w:noProof/>
        </w:rPr>
        <w:t>. Vol. 40. doi:10.1515/flin.40.3-4.239.</w:t>
      </w:r>
    </w:p>
    <w:p w14:paraId="3506A759"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Lier, Eva van. 2016. Lexical flexibility in Oceanic languages. </w:t>
      </w:r>
      <w:r w:rsidRPr="000B1A28">
        <w:rPr>
          <w:i/>
          <w:iCs/>
          <w:noProof/>
        </w:rPr>
        <w:t>Linguistic Typology</w:t>
      </w:r>
      <w:r w:rsidRPr="000B1A28">
        <w:rPr>
          <w:noProof/>
        </w:rPr>
        <w:t xml:space="preserve"> 20(2). 197–232. doi:10.1515/lingty-2016-0005.</w:t>
      </w:r>
    </w:p>
    <w:p w14:paraId="5B4ECBF6"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Lier, Eva van (ed.). 2017. </w:t>
      </w:r>
      <w:r w:rsidRPr="000B1A28">
        <w:rPr>
          <w:i/>
          <w:iCs/>
          <w:noProof/>
        </w:rPr>
        <w:t>Lexical flexibility in Oceanic languages</w:t>
      </w:r>
      <w:r w:rsidRPr="000B1A28">
        <w:rPr>
          <w:noProof/>
        </w:rPr>
        <w:t>. . Vol. 41. (Studies in Language). Amsterdam: John Benjamins.</w:t>
      </w:r>
    </w:p>
    <w:p w14:paraId="78F372E8"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Lier, Eva van &amp; Jan Rijkhoff. 2013. Flexible word classes in linguistic typology and grammatical theory. In Eva van Lier &amp; Jan Rijkhoff (eds.), </w:t>
      </w:r>
      <w:r w:rsidRPr="000B1A28">
        <w:rPr>
          <w:i/>
          <w:iCs/>
          <w:noProof/>
        </w:rPr>
        <w:t>Flexible word classes: Typological studies of underspecified parts of speech</w:t>
      </w:r>
      <w:r w:rsidRPr="000B1A28">
        <w:rPr>
          <w:noProof/>
        </w:rPr>
        <w:t>, 1–30. Oxford: Oxford University Press.</w:t>
      </w:r>
    </w:p>
    <w:p w14:paraId="2E8C269E"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Lier, Evan van. 2017. Introduction: Lexical flexibility in Oceanic languages. </w:t>
      </w:r>
      <w:r w:rsidRPr="000B1A28">
        <w:rPr>
          <w:i/>
          <w:iCs/>
          <w:noProof/>
        </w:rPr>
        <w:t>Studies in Language</w:t>
      </w:r>
      <w:r w:rsidRPr="000B1A28">
        <w:rPr>
          <w:noProof/>
        </w:rPr>
        <w:t xml:space="preserve"> 41(2). 241–254. doi:10.1075/sl.41.2.01van. http://www.jbe-platform.com/content/journals/10.1075/sl.41.2.01van.</w:t>
      </w:r>
    </w:p>
    <w:p w14:paraId="51B24A72"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Luuk, Erkki. 2010. Nouns, verbs and flexibles: Implications for typologies of word classes. </w:t>
      </w:r>
      <w:r w:rsidRPr="000B1A28">
        <w:rPr>
          <w:i/>
          <w:iCs/>
          <w:noProof/>
        </w:rPr>
        <w:t>Language Sciences</w:t>
      </w:r>
      <w:r w:rsidRPr="000B1A28">
        <w:rPr>
          <w:noProof/>
        </w:rPr>
        <w:t xml:space="preserve"> 32(3). Elsevier Ltd. 349–365. doi:10.1016/j.langsci.2009.02.001. http://dx.doi.org/10.1016/j.langsci.2009.02.001.</w:t>
      </w:r>
    </w:p>
    <w:p w14:paraId="3FDEE975"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Lyons, John. 1977. </w:t>
      </w:r>
      <w:r w:rsidRPr="000B1A28">
        <w:rPr>
          <w:i/>
          <w:iCs/>
          <w:noProof/>
        </w:rPr>
        <w:t>Semantics</w:t>
      </w:r>
      <w:r w:rsidRPr="000B1A28">
        <w:rPr>
          <w:noProof/>
        </w:rPr>
        <w:t>. . Vol. 2. Cambridge: Cambridge University Press.</w:t>
      </w:r>
    </w:p>
    <w:p w14:paraId="65AEF283"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Mallinson, G. &amp; B. J. Blake. 1981. </w:t>
      </w:r>
      <w:r w:rsidRPr="000B1A28">
        <w:rPr>
          <w:i/>
          <w:iCs/>
          <w:noProof/>
        </w:rPr>
        <w:t>Language typology: Cross-linguistic studies in syntax</w:t>
      </w:r>
      <w:r w:rsidRPr="000B1A28">
        <w:rPr>
          <w:noProof/>
        </w:rPr>
        <w:t>. Oxford: North-Holland.</w:t>
      </w:r>
    </w:p>
    <w:p w14:paraId="039A7099"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McDonald, Edward. 2013. The creation of “parts of speech” for Chinese: “Translingual practice” across Graeco-Roman and Sinitic traditions. </w:t>
      </w:r>
      <w:r w:rsidRPr="000B1A28">
        <w:rPr>
          <w:i/>
          <w:iCs/>
          <w:noProof/>
        </w:rPr>
        <w:t>History &amp; Philosophy of the Language Sciences</w:t>
      </w:r>
      <w:r w:rsidRPr="000B1A28">
        <w:rPr>
          <w:noProof/>
        </w:rPr>
        <w:t>. https://hiphilangsci.net/2013/06/12/the-creation-of-parts-of-speech-for-chinese-translingual-practice-across-graeco-roman-and-sinitic-traditions/.</w:t>
      </w:r>
    </w:p>
    <w:p w14:paraId="56DE4B5D"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McGregor, William B. 2013. Lexical categories in Gooniyandi, Kimberley, Western Australia. In Jan Rijkhoff &amp; Eva van Lier (eds.), </w:t>
      </w:r>
      <w:r w:rsidRPr="000B1A28">
        <w:rPr>
          <w:i/>
          <w:iCs/>
          <w:noProof/>
        </w:rPr>
        <w:t>Flexible word classes: Typological studies of underspecified parts of speech</w:t>
      </w:r>
      <w:r w:rsidRPr="000B1A28">
        <w:rPr>
          <w:noProof/>
        </w:rPr>
        <w:t>, 221–246. Oxford: Oxford University Press.</w:t>
      </w:r>
    </w:p>
    <w:p w14:paraId="28FE07F4"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lastRenderedPageBreak/>
        <w:t xml:space="preserve">Mithun, Marianne. 1999. </w:t>
      </w:r>
      <w:r w:rsidRPr="000B1A28">
        <w:rPr>
          <w:i/>
          <w:iCs/>
          <w:noProof/>
        </w:rPr>
        <w:t>The languages of Native North America</w:t>
      </w:r>
      <w:r w:rsidRPr="000B1A28">
        <w:rPr>
          <w:noProof/>
        </w:rPr>
        <w:t>. Cambridge: Cambridge University Press.</w:t>
      </w:r>
    </w:p>
    <w:p w14:paraId="3483D4F6"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Mithun, Marianne. 2000. Noun and verb in Iroquoian languages: Multicategorisation from multiple criteria. In Petra M. Vogel &amp; Bernard Comrie (eds.), </w:t>
      </w:r>
      <w:r w:rsidRPr="000B1A28">
        <w:rPr>
          <w:i/>
          <w:iCs/>
          <w:noProof/>
        </w:rPr>
        <w:t>Approaches to the typology of word classes</w:t>
      </w:r>
      <w:r w:rsidRPr="000B1A28">
        <w:rPr>
          <w:noProof/>
        </w:rPr>
        <w:t>, 397–420. (Empirical Approaches to Language Typology 23). Berlin: Walter de Gruyter.</w:t>
      </w:r>
    </w:p>
    <w:p w14:paraId="408DB97C"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Mithun, Marianne. 2012. Core argument patterns and deep genetic relations: Hierarchical systems in Northern California. In Pirkko Suihkonen, Bernard Comrie &amp; Valery Solovyev (eds.), </w:t>
      </w:r>
      <w:r w:rsidRPr="000B1A28">
        <w:rPr>
          <w:i/>
          <w:iCs/>
          <w:noProof/>
        </w:rPr>
        <w:t>Argument structure and grammatical relations: A crosslinguistic typology</w:t>
      </w:r>
      <w:r w:rsidRPr="000B1A28">
        <w:rPr>
          <w:noProof/>
        </w:rPr>
        <w:t>, 257–294. (Studies in Language Companion Series 126). Amsterdam: John Benjamins.</w:t>
      </w:r>
    </w:p>
    <w:p w14:paraId="181194E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Mithun, Marianne. 2013. Prosody and independence: Free and bound person marking. In Dik Bakker &amp; Martin Haspelmath (eds.), </w:t>
      </w:r>
      <w:r w:rsidRPr="000B1A28">
        <w:rPr>
          <w:i/>
          <w:iCs/>
          <w:noProof/>
        </w:rPr>
        <w:t>Languages across boundaries: Studies in memory of Anna Siewierska</w:t>
      </w:r>
      <w:r w:rsidRPr="000B1A28">
        <w:rPr>
          <w:noProof/>
        </w:rPr>
        <w:t>, 291–312. Berlin: Mouton de Gruyter.</w:t>
      </w:r>
    </w:p>
    <w:p w14:paraId="758A2700"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Mithun, Marianne. 2017. Polycategoriality and zero derivation: Insights from Central Alaskan Yup’ik Eskimo. In Valentina Vapnarsky &amp; Edy Veneziano (eds.), </w:t>
      </w:r>
      <w:r w:rsidRPr="000B1A28">
        <w:rPr>
          <w:i/>
          <w:iCs/>
          <w:noProof/>
        </w:rPr>
        <w:t>Lexical polycategoriality: Cross-linguistic, cross-theoretical, and language acquisition approaches</w:t>
      </w:r>
      <w:r w:rsidRPr="000B1A28">
        <w:rPr>
          <w:noProof/>
        </w:rPr>
        <w:t>, vol. 182, 155–176. (Studies in Language Companion Series). Amsterdam: John Benjamins. doi:10.1075/slcs.182.</w:t>
      </w:r>
    </w:p>
    <w:p w14:paraId="500716F9"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Nakayama, Toshihide. 1997. Discourse-pragmatic dynamism in Nuu-chah-nulth (Nootka) morphosyntax. University of California, Santa Barbara. doi:10.16953/deusbed.74839.</w:t>
      </w:r>
    </w:p>
    <w:p w14:paraId="3B091E8E"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Nakayama, Toshihide. 2002. </w:t>
      </w:r>
      <w:r w:rsidRPr="000B1A28">
        <w:rPr>
          <w:i/>
          <w:iCs/>
          <w:noProof/>
        </w:rPr>
        <w:t>Nuuchahnulth (Nootka) morphosyntax</w:t>
      </w:r>
      <w:r w:rsidRPr="000B1A28">
        <w:rPr>
          <w:noProof/>
        </w:rPr>
        <w:t>. (University of California Publications in Linguistics 134). Berkeley: University of California Press.</w:t>
      </w:r>
    </w:p>
    <w:p w14:paraId="67E60E1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Palmer, Bill. 2017. Categorial flexibility as an artefact of the analysis. </w:t>
      </w:r>
      <w:r w:rsidRPr="000B1A28">
        <w:rPr>
          <w:i/>
          <w:iCs/>
          <w:noProof/>
        </w:rPr>
        <w:t>Studies in Language</w:t>
      </w:r>
      <w:r w:rsidRPr="000B1A28">
        <w:rPr>
          <w:noProof/>
        </w:rPr>
        <w:t xml:space="preserve"> 41(2). 408–444. doi:10.1075/sl.41.2.05pal. http://www.jbe-platform.com/content/journals/10.1075/sl.41.2.05pal.</w:t>
      </w:r>
    </w:p>
    <w:p w14:paraId="7FB786C2"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Pustet, Regina. 2000. How arbitrary is lexical categorization? Verbs vs. adjectives. </w:t>
      </w:r>
      <w:r w:rsidRPr="000B1A28">
        <w:rPr>
          <w:i/>
          <w:iCs/>
          <w:noProof/>
        </w:rPr>
        <w:t>Linguistic Typology</w:t>
      </w:r>
      <w:r w:rsidRPr="000B1A28">
        <w:rPr>
          <w:noProof/>
        </w:rPr>
        <w:t xml:space="preserve"> 4(2). 175–212. doi:10.1515/lity.2000.4.2.175. http://www.degruyter.com/view/j/lity.2000.4.issue-2/lity.2000.4.2.175/lity.2000.4.2.175.xml.</w:t>
      </w:r>
    </w:p>
    <w:p w14:paraId="3EB9AABA"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Ramat, Paolo. 2009. How universal are linguistic categories? </w:t>
      </w:r>
      <w:r w:rsidRPr="000B1A28">
        <w:rPr>
          <w:i/>
          <w:iCs/>
          <w:noProof/>
        </w:rPr>
        <w:t>Universals of language today</w:t>
      </w:r>
      <w:r w:rsidRPr="000B1A28">
        <w:rPr>
          <w:noProof/>
        </w:rPr>
        <w:t>, 1–12. (Studies in Natural Language &amp; Linguistic Theory 76). Springer.</w:t>
      </w:r>
    </w:p>
    <w:p w14:paraId="73D76AEC"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Rauh, Gisa. 2010. </w:t>
      </w:r>
      <w:r w:rsidRPr="000B1A28">
        <w:rPr>
          <w:i/>
          <w:iCs/>
          <w:noProof/>
        </w:rPr>
        <w:t>Syntactic categories: Their identification and description in linguistic theories</w:t>
      </w:r>
      <w:r w:rsidRPr="000B1A28">
        <w:rPr>
          <w:noProof/>
        </w:rPr>
        <w:t>. (Oxford Surveys in Syntax &amp; Morphology 7). Oxford: Oxford University Press.</w:t>
      </w:r>
    </w:p>
    <w:p w14:paraId="2A2DD945"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Rijkhoff, Jan. 2007. Word classes. </w:t>
      </w:r>
      <w:r w:rsidRPr="000B1A28">
        <w:rPr>
          <w:i/>
          <w:iCs/>
          <w:noProof/>
        </w:rPr>
        <w:t>Language &amp; Linguistics Compass</w:t>
      </w:r>
      <w:r w:rsidRPr="000B1A28">
        <w:rPr>
          <w:noProof/>
        </w:rPr>
        <w:t xml:space="preserve"> 1(6). 709–726. doi:10.1111/j.1749-818X.2007.00030.x. http://doi.wiley.com/10.1111/j.1749-818X.2007.00030.x.</w:t>
      </w:r>
    </w:p>
    <w:p w14:paraId="3BF4F785"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Rijkhoff, Jan. 2016. Crosslinguistic categories in morphosyntactic typology: Problems and prospects. </w:t>
      </w:r>
      <w:r w:rsidRPr="000B1A28">
        <w:rPr>
          <w:i/>
          <w:iCs/>
          <w:noProof/>
        </w:rPr>
        <w:t>Linguistic Typology</w:t>
      </w:r>
      <w:r w:rsidRPr="000B1A28">
        <w:rPr>
          <w:noProof/>
        </w:rPr>
        <w:t xml:space="preserve"> 20(2). 333–363. doi:10.1515/lingty-2016-0010.</w:t>
      </w:r>
    </w:p>
    <w:p w14:paraId="3FC87FC9"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Rijkhoff, Jan &amp; Eva van Lier (eds.). 2013. </w:t>
      </w:r>
      <w:r w:rsidRPr="000B1A28">
        <w:rPr>
          <w:i/>
          <w:iCs/>
          <w:noProof/>
        </w:rPr>
        <w:t>Flexible word classes: Typological studies of underspecified parts of speech</w:t>
      </w:r>
      <w:r w:rsidRPr="000B1A28">
        <w:rPr>
          <w:noProof/>
        </w:rPr>
        <w:t>. Oxford: Oxford University Press.</w:t>
      </w:r>
    </w:p>
    <w:p w14:paraId="09DB0D0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lastRenderedPageBreak/>
        <w:t xml:space="preserve">Rosch, Eleanor H. 1973a. Natural categories. </w:t>
      </w:r>
      <w:r w:rsidRPr="000B1A28">
        <w:rPr>
          <w:i/>
          <w:iCs/>
          <w:noProof/>
        </w:rPr>
        <w:t>Cognitive Psychology</w:t>
      </w:r>
      <w:r w:rsidRPr="000B1A28">
        <w:rPr>
          <w:noProof/>
        </w:rPr>
        <w:t xml:space="preserve"> 4(3). 328–350. doi:10.1016/0010-0285(73)90017-0.</w:t>
      </w:r>
    </w:p>
    <w:p w14:paraId="338F7234"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Rosch, Eleanor H. 1973b. On the internal structure of perceptual and semantic categories. </w:t>
      </w:r>
      <w:r w:rsidRPr="000B1A28">
        <w:rPr>
          <w:i/>
          <w:iCs/>
          <w:noProof/>
        </w:rPr>
        <w:t>Cognitive development and the acquisition of language</w:t>
      </w:r>
      <w:r w:rsidRPr="000B1A28">
        <w:rPr>
          <w:noProof/>
        </w:rPr>
        <w:t>, 111–144. New York: Academic Press.</w:t>
      </w:r>
    </w:p>
    <w:p w14:paraId="211CF242"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Rosch, Eleanor H. 1975. Cognitive representation of semantic categories. </w:t>
      </w:r>
      <w:r w:rsidRPr="000B1A28">
        <w:rPr>
          <w:i/>
          <w:iCs/>
          <w:noProof/>
        </w:rPr>
        <w:t>Journal of Experimental Psychology</w:t>
      </w:r>
      <w:r w:rsidRPr="000B1A28">
        <w:rPr>
          <w:noProof/>
        </w:rPr>
        <w:t xml:space="preserve"> 104(3). 192–233.</w:t>
      </w:r>
    </w:p>
    <w:p w14:paraId="6E869EBF"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Rosch, Eleanor H. 1978. Principles of categorization. In Eleanor Rosch &amp; B. B. Lloyd (eds.), </w:t>
      </w:r>
      <w:r w:rsidRPr="000B1A28">
        <w:rPr>
          <w:i/>
          <w:iCs/>
          <w:noProof/>
        </w:rPr>
        <w:t>Cognition and categorization</w:t>
      </w:r>
      <w:r w:rsidRPr="000B1A28">
        <w:rPr>
          <w:noProof/>
        </w:rPr>
        <w:t>, 27–48. Hillsdale, NJ: Lawrence Erlbaum.</w:t>
      </w:r>
    </w:p>
    <w:p w14:paraId="3D84FE3F"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Rosch, Eleanor H. &amp; Carolyn B. Mervis. 1975. Family resemblances: Studies in the internal structure of categories. </w:t>
      </w:r>
      <w:r w:rsidRPr="000B1A28">
        <w:rPr>
          <w:i/>
          <w:iCs/>
          <w:noProof/>
        </w:rPr>
        <w:t>Cognitive Psychology</w:t>
      </w:r>
      <w:r w:rsidRPr="000B1A28">
        <w:rPr>
          <w:noProof/>
        </w:rPr>
        <w:t xml:space="preserve"> 7(4). 573–605. doi:10.1016/0010-0285(75)90024-9.</w:t>
      </w:r>
    </w:p>
    <w:p w14:paraId="321A904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Rosch, Eleanor H., Carolyn B. Mervis, Wayne D. Gray, David M. Johnson &amp; Penny Boyes-Braem. 1976. Basic objects in natural categories. </w:t>
      </w:r>
      <w:r w:rsidRPr="000B1A28">
        <w:rPr>
          <w:i/>
          <w:iCs/>
          <w:noProof/>
        </w:rPr>
        <w:t>Cognitive Psychology</w:t>
      </w:r>
      <w:r w:rsidRPr="000B1A28">
        <w:rPr>
          <w:noProof/>
        </w:rPr>
        <w:t xml:space="preserve"> 8(3). 382–439. doi:10.1016/0010-0285(76)90013-X.</w:t>
      </w:r>
    </w:p>
    <w:p w14:paraId="401DC205"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Sadock, Jerrold M. 1999. The nominalist theory of Eskimo: A case study in scientific self-deception. </w:t>
      </w:r>
      <w:r w:rsidRPr="000B1A28">
        <w:rPr>
          <w:i/>
          <w:iCs/>
          <w:noProof/>
        </w:rPr>
        <w:t>International Journal of American Linguistics</w:t>
      </w:r>
      <w:r w:rsidRPr="000B1A28">
        <w:rPr>
          <w:noProof/>
        </w:rPr>
        <w:t xml:space="preserve"> 65(4). 383–406.</w:t>
      </w:r>
    </w:p>
    <w:p w14:paraId="50A90591"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Sapir, Edward. 1921. </w:t>
      </w:r>
      <w:r w:rsidRPr="000B1A28">
        <w:rPr>
          <w:i/>
          <w:iCs/>
          <w:noProof/>
        </w:rPr>
        <w:t>Language: An introduction to the study of speech</w:t>
      </w:r>
      <w:r w:rsidRPr="000B1A28">
        <w:rPr>
          <w:noProof/>
        </w:rPr>
        <w:t>. New York: Harcourt, Brace &amp; Co. doi:10.2307/3713880. https://books.google.com/books?id=ofgrAAAAYAAJ.</w:t>
      </w:r>
    </w:p>
    <w:p w14:paraId="7F477E03"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Siewierska, Anna. 2004. </w:t>
      </w:r>
      <w:r w:rsidRPr="000B1A28">
        <w:rPr>
          <w:i/>
          <w:iCs/>
          <w:noProof/>
        </w:rPr>
        <w:t>Person</w:t>
      </w:r>
      <w:r w:rsidRPr="000B1A28">
        <w:rPr>
          <w:noProof/>
        </w:rPr>
        <w:t>. (Cambridge Textbooks in Linguistics). Cambridge: Cambridge University Press. doi:10.1017/CBO9780511812729.</w:t>
      </w:r>
    </w:p>
    <w:p w14:paraId="74BA4055"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Taylor, John R. 1989. </w:t>
      </w:r>
      <w:r w:rsidRPr="000B1A28">
        <w:rPr>
          <w:i/>
          <w:iCs/>
          <w:noProof/>
        </w:rPr>
        <w:t>Linguistic categorization: Prototypes in linguistic theory</w:t>
      </w:r>
      <w:r w:rsidRPr="000B1A28">
        <w:rPr>
          <w:noProof/>
        </w:rPr>
        <w:t>. 1st ed. Oxford: Clarendon Press.</w:t>
      </w:r>
    </w:p>
    <w:p w14:paraId="2842F7D7"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Thompson, Sandra A. 1989. A discourse approach to the cross-linguistic category “Adjective.” In Roberta Corrigan, Fred R. Eckman &amp; Michael Noonan (eds.), </w:t>
      </w:r>
      <w:r w:rsidRPr="000B1A28">
        <w:rPr>
          <w:i/>
          <w:iCs/>
          <w:noProof/>
        </w:rPr>
        <w:t>Linguistic categorization</w:t>
      </w:r>
      <w:r w:rsidRPr="000B1A28">
        <w:rPr>
          <w:noProof/>
        </w:rPr>
        <w:t>, 245–266. (Current Issues in Linguistic Theory 61). Amsterdam: John Benjamins.</w:t>
      </w:r>
    </w:p>
    <w:p w14:paraId="2C2AA96E"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Vapnarsky, Valentina &amp; Edy Veneziano. 2017a. Lexical polycategoriality: Cross-linguistic, cross-theoretical and language acquisition approaches. An introduction. In Valentina Vapnarsky &amp; Edy Veneziano (eds.), </w:t>
      </w:r>
      <w:r w:rsidRPr="000B1A28">
        <w:rPr>
          <w:i/>
          <w:iCs/>
          <w:noProof/>
        </w:rPr>
        <w:t>Lexical polycategoriality: Cross-linguistic, cross-theoretical, and language acquisition approaches</w:t>
      </w:r>
      <w:r w:rsidRPr="000B1A28">
        <w:rPr>
          <w:noProof/>
        </w:rPr>
        <w:t>, 1–34. (Studies in Language Companion Series 182). Amsterdam: John Benjamins.</w:t>
      </w:r>
    </w:p>
    <w:p w14:paraId="7BB2AEE2" w14:textId="77777777" w:rsidR="000B1A28" w:rsidRPr="000B1A28" w:rsidRDefault="000B1A28" w:rsidP="000B1A28">
      <w:pPr>
        <w:widowControl w:val="0"/>
        <w:autoSpaceDE w:val="0"/>
        <w:autoSpaceDN w:val="0"/>
        <w:adjustRightInd w:val="0"/>
        <w:spacing w:before="120" w:after="120" w:line="240" w:lineRule="auto"/>
        <w:ind w:left="480" w:hanging="480"/>
        <w:rPr>
          <w:noProof/>
        </w:rPr>
      </w:pPr>
      <w:r w:rsidRPr="000B1A28">
        <w:rPr>
          <w:noProof/>
        </w:rPr>
        <w:t xml:space="preserve">Vapnarsky, Valentina &amp; Edy Veneziano (eds.). 2017b. </w:t>
      </w:r>
      <w:r w:rsidRPr="000B1A28">
        <w:rPr>
          <w:i/>
          <w:iCs/>
          <w:noProof/>
        </w:rPr>
        <w:t>Lexical polycategoriality: Cross-linguistic, cross-theoretical and language acquisition approaches</w:t>
      </w:r>
      <w:r w:rsidRPr="000B1A28">
        <w:rPr>
          <w:noProof/>
        </w:rPr>
        <w:t>. (Studies in Language Companion Series 182). Amsterdam: John Benjamins.</w:t>
      </w:r>
    </w:p>
    <w:p w14:paraId="10EC10B6" w14:textId="77777777" w:rsidR="00FD59DC" w:rsidRPr="00FD59DC" w:rsidRDefault="00FD59DC" w:rsidP="000762EE">
      <w:pPr>
        <w:spacing w:before="120" w:after="120" w:line="240" w:lineRule="auto"/>
        <w:ind w:firstLine="0"/>
      </w:pP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33418F" w:rsidRDefault="0033418F" w:rsidP="00CA5A11">
      <w:r>
        <w:separator/>
      </w:r>
    </w:p>
  </w:endnote>
  <w:endnote w:type="continuationSeparator" w:id="0">
    <w:p w14:paraId="05E1657E" w14:textId="77777777" w:rsidR="0033418F" w:rsidRDefault="0033418F"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77777777" w:rsidR="000619B2" w:rsidRDefault="000619B2" w:rsidP="007268BD">
    <w:pPr>
      <w:pStyle w:val="Footer"/>
      <w:jc w:val="center"/>
    </w:pPr>
    <w:r>
      <w:rPr>
        <w:noProof w:val="0"/>
      </w:rPr>
      <w:fldChar w:fldCharType="begin"/>
    </w:r>
    <w:r>
      <w:instrText xml:space="preserve"> PAGE   \* MERGEFORMAT </w:instrText>
    </w:r>
    <w:r>
      <w:rPr>
        <w:noProof w:val="0"/>
      </w:rPr>
      <w:fldChar w:fldCharType="separate"/>
    </w:r>
    <w:r w:rsidR="009B2737">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77777777" w:rsidR="000619B2" w:rsidRDefault="000619B2" w:rsidP="00FD59DC">
    <w:pPr>
      <w:pStyle w:val="Footer"/>
      <w:jc w:val="center"/>
    </w:pPr>
    <w:r>
      <w:rPr>
        <w:noProof w:val="0"/>
      </w:rPr>
      <w:fldChar w:fldCharType="begin"/>
    </w:r>
    <w:r>
      <w:instrText xml:space="preserve"> PAGE   \* MERGEFORMAT </w:instrText>
    </w:r>
    <w:r>
      <w:rPr>
        <w:noProof w:val="0"/>
      </w:rPr>
      <w:fldChar w:fldCharType="separate"/>
    </w:r>
    <w:r w:rsidR="009B2737">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33418F" w:rsidRDefault="0033418F" w:rsidP="00CA5A11">
      <w:r>
        <w:separator/>
      </w:r>
    </w:p>
  </w:footnote>
  <w:footnote w:type="continuationSeparator" w:id="0">
    <w:p w14:paraId="0C689F5C" w14:textId="77777777" w:rsidR="0033418F" w:rsidRDefault="0033418F" w:rsidP="00CA5A11">
      <w:r>
        <w:continuationSeparator/>
      </w:r>
    </w:p>
  </w:footnote>
  <w:footnote w:id="1">
    <w:p w14:paraId="3DDF32BD" w14:textId="77777777" w:rsidR="000619B2" w:rsidRDefault="000619B2"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but this phenomena will not be discussed here.</w:t>
      </w:r>
    </w:p>
    <w:p w14:paraId="36AA4BDC" w14:textId="77777777" w:rsidR="000619B2" w:rsidRDefault="000619B2">
      <w:pPr>
        <w:pStyle w:val="FootnoteText"/>
      </w:pPr>
      <w:r>
        <w:t xml:space="preserve"> </w:t>
      </w:r>
    </w:p>
  </w:footnote>
  <w:footnote w:id="2">
    <w:p w14:paraId="3E2D1089" w14:textId="77777777" w:rsidR="000619B2" w:rsidRDefault="000619B2">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0619B2" w:rsidRDefault="000619B2">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0619B2" w:rsidRDefault="000619B2">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7EA7"/>
    <w:rsid w:val="00012724"/>
    <w:rsid w:val="00012C2F"/>
    <w:rsid w:val="00014626"/>
    <w:rsid w:val="000155EF"/>
    <w:rsid w:val="00015C5F"/>
    <w:rsid w:val="00020529"/>
    <w:rsid w:val="000227D7"/>
    <w:rsid w:val="000248C4"/>
    <w:rsid w:val="000258F5"/>
    <w:rsid w:val="0002602D"/>
    <w:rsid w:val="000314AB"/>
    <w:rsid w:val="00034EE5"/>
    <w:rsid w:val="00036CB3"/>
    <w:rsid w:val="00052D53"/>
    <w:rsid w:val="000575D9"/>
    <w:rsid w:val="000619B2"/>
    <w:rsid w:val="00070468"/>
    <w:rsid w:val="00071549"/>
    <w:rsid w:val="00073AB3"/>
    <w:rsid w:val="000762EE"/>
    <w:rsid w:val="00087A44"/>
    <w:rsid w:val="0009333F"/>
    <w:rsid w:val="0009429B"/>
    <w:rsid w:val="00095D94"/>
    <w:rsid w:val="000A1526"/>
    <w:rsid w:val="000B1A28"/>
    <w:rsid w:val="000B76B7"/>
    <w:rsid w:val="000C142E"/>
    <w:rsid w:val="000E0202"/>
    <w:rsid w:val="000E38C1"/>
    <w:rsid w:val="000F0C07"/>
    <w:rsid w:val="000F44E4"/>
    <w:rsid w:val="00113D04"/>
    <w:rsid w:val="001210D1"/>
    <w:rsid w:val="00122E7D"/>
    <w:rsid w:val="00132AD3"/>
    <w:rsid w:val="001335BD"/>
    <w:rsid w:val="001344CB"/>
    <w:rsid w:val="00143852"/>
    <w:rsid w:val="00147AB1"/>
    <w:rsid w:val="0019060E"/>
    <w:rsid w:val="00190EA1"/>
    <w:rsid w:val="00193C0D"/>
    <w:rsid w:val="001A121D"/>
    <w:rsid w:val="001A511C"/>
    <w:rsid w:val="001B5863"/>
    <w:rsid w:val="001D0716"/>
    <w:rsid w:val="001D302D"/>
    <w:rsid w:val="001D73BA"/>
    <w:rsid w:val="001E25A4"/>
    <w:rsid w:val="001E4A7C"/>
    <w:rsid w:val="001E4C32"/>
    <w:rsid w:val="001F590F"/>
    <w:rsid w:val="001F736D"/>
    <w:rsid w:val="002004BE"/>
    <w:rsid w:val="002008D9"/>
    <w:rsid w:val="0020387A"/>
    <w:rsid w:val="0021074C"/>
    <w:rsid w:val="00214730"/>
    <w:rsid w:val="00224873"/>
    <w:rsid w:val="00241552"/>
    <w:rsid w:val="0024518B"/>
    <w:rsid w:val="00261E56"/>
    <w:rsid w:val="00274D9B"/>
    <w:rsid w:val="002811CA"/>
    <w:rsid w:val="00291257"/>
    <w:rsid w:val="002964BB"/>
    <w:rsid w:val="002A268A"/>
    <w:rsid w:val="002A368A"/>
    <w:rsid w:val="002B21B1"/>
    <w:rsid w:val="002B69AE"/>
    <w:rsid w:val="002D4762"/>
    <w:rsid w:val="002E02BA"/>
    <w:rsid w:val="002E602A"/>
    <w:rsid w:val="003020EE"/>
    <w:rsid w:val="00305745"/>
    <w:rsid w:val="00313B0C"/>
    <w:rsid w:val="00323BEF"/>
    <w:rsid w:val="00327B49"/>
    <w:rsid w:val="0033418F"/>
    <w:rsid w:val="00340121"/>
    <w:rsid w:val="00341C59"/>
    <w:rsid w:val="00351494"/>
    <w:rsid w:val="00360AB2"/>
    <w:rsid w:val="003614A4"/>
    <w:rsid w:val="003652A5"/>
    <w:rsid w:val="003671E8"/>
    <w:rsid w:val="003770F8"/>
    <w:rsid w:val="0038538F"/>
    <w:rsid w:val="00396F5C"/>
    <w:rsid w:val="003A3611"/>
    <w:rsid w:val="003A70E1"/>
    <w:rsid w:val="003B4557"/>
    <w:rsid w:val="003C0562"/>
    <w:rsid w:val="003C5FFB"/>
    <w:rsid w:val="003D4C8C"/>
    <w:rsid w:val="003D5DE3"/>
    <w:rsid w:val="003F11AA"/>
    <w:rsid w:val="004073EB"/>
    <w:rsid w:val="00414201"/>
    <w:rsid w:val="00417BC3"/>
    <w:rsid w:val="00417CD8"/>
    <w:rsid w:val="00420430"/>
    <w:rsid w:val="00441E13"/>
    <w:rsid w:val="00451C7B"/>
    <w:rsid w:val="004550E0"/>
    <w:rsid w:val="004573C0"/>
    <w:rsid w:val="00473CAA"/>
    <w:rsid w:val="00482675"/>
    <w:rsid w:val="004841B6"/>
    <w:rsid w:val="00485753"/>
    <w:rsid w:val="00490AA9"/>
    <w:rsid w:val="004936F5"/>
    <w:rsid w:val="004A665A"/>
    <w:rsid w:val="004A6C18"/>
    <w:rsid w:val="004F13E5"/>
    <w:rsid w:val="004F6771"/>
    <w:rsid w:val="00517FCD"/>
    <w:rsid w:val="00524676"/>
    <w:rsid w:val="005255A9"/>
    <w:rsid w:val="005313D4"/>
    <w:rsid w:val="005340F3"/>
    <w:rsid w:val="00535710"/>
    <w:rsid w:val="00536211"/>
    <w:rsid w:val="00540DEF"/>
    <w:rsid w:val="00553323"/>
    <w:rsid w:val="005667CC"/>
    <w:rsid w:val="00573B19"/>
    <w:rsid w:val="005904ED"/>
    <w:rsid w:val="005A19D2"/>
    <w:rsid w:val="005A4BB2"/>
    <w:rsid w:val="005B421C"/>
    <w:rsid w:val="005C6169"/>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86E16"/>
    <w:rsid w:val="006905E7"/>
    <w:rsid w:val="006969E7"/>
    <w:rsid w:val="006B3A5C"/>
    <w:rsid w:val="006D192C"/>
    <w:rsid w:val="006E2B40"/>
    <w:rsid w:val="006E70AF"/>
    <w:rsid w:val="006E761D"/>
    <w:rsid w:val="006F5BD1"/>
    <w:rsid w:val="006F6DDE"/>
    <w:rsid w:val="007026B1"/>
    <w:rsid w:val="00703236"/>
    <w:rsid w:val="00706E4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1810"/>
    <w:rsid w:val="007C19C0"/>
    <w:rsid w:val="007C4AC9"/>
    <w:rsid w:val="007C7241"/>
    <w:rsid w:val="007E405D"/>
    <w:rsid w:val="007E5836"/>
    <w:rsid w:val="007E78E9"/>
    <w:rsid w:val="007F0F8F"/>
    <w:rsid w:val="007F1195"/>
    <w:rsid w:val="007F662F"/>
    <w:rsid w:val="008009A6"/>
    <w:rsid w:val="0080709C"/>
    <w:rsid w:val="00833849"/>
    <w:rsid w:val="00834040"/>
    <w:rsid w:val="0084363F"/>
    <w:rsid w:val="00845A61"/>
    <w:rsid w:val="00846C58"/>
    <w:rsid w:val="00850686"/>
    <w:rsid w:val="00860784"/>
    <w:rsid w:val="00860B89"/>
    <w:rsid w:val="008708F8"/>
    <w:rsid w:val="00884D75"/>
    <w:rsid w:val="00885AAC"/>
    <w:rsid w:val="00887021"/>
    <w:rsid w:val="00887B91"/>
    <w:rsid w:val="00895263"/>
    <w:rsid w:val="008A09D2"/>
    <w:rsid w:val="008A145C"/>
    <w:rsid w:val="008A4D7C"/>
    <w:rsid w:val="008B45B4"/>
    <w:rsid w:val="008C5D11"/>
    <w:rsid w:val="008D3BA1"/>
    <w:rsid w:val="008D4ABB"/>
    <w:rsid w:val="008E2C1E"/>
    <w:rsid w:val="008E7768"/>
    <w:rsid w:val="008F2838"/>
    <w:rsid w:val="00907BE5"/>
    <w:rsid w:val="009141BE"/>
    <w:rsid w:val="00930E64"/>
    <w:rsid w:val="009400AE"/>
    <w:rsid w:val="009417C1"/>
    <w:rsid w:val="00945758"/>
    <w:rsid w:val="0095753C"/>
    <w:rsid w:val="00957FA7"/>
    <w:rsid w:val="00977F74"/>
    <w:rsid w:val="0098108E"/>
    <w:rsid w:val="00984ECF"/>
    <w:rsid w:val="00985A7C"/>
    <w:rsid w:val="0099612C"/>
    <w:rsid w:val="009A355A"/>
    <w:rsid w:val="009A75CD"/>
    <w:rsid w:val="009A7CD6"/>
    <w:rsid w:val="009B264B"/>
    <w:rsid w:val="009B2737"/>
    <w:rsid w:val="009B5B1C"/>
    <w:rsid w:val="009B6AF6"/>
    <w:rsid w:val="009B72DF"/>
    <w:rsid w:val="009C5A3B"/>
    <w:rsid w:val="009C7CB1"/>
    <w:rsid w:val="009D0C2B"/>
    <w:rsid w:val="009D2000"/>
    <w:rsid w:val="009D583B"/>
    <w:rsid w:val="009F20D1"/>
    <w:rsid w:val="009F32D4"/>
    <w:rsid w:val="009F64E2"/>
    <w:rsid w:val="009F65B4"/>
    <w:rsid w:val="00A101B4"/>
    <w:rsid w:val="00A149AF"/>
    <w:rsid w:val="00A1619F"/>
    <w:rsid w:val="00A16213"/>
    <w:rsid w:val="00A27E8C"/>
    <w:rsid w:val="00A31FB6"/>
    <w:rsid w:val="00A377B9"/>
    <w:rsid w:val="00A54C27"/>
    <w:rsid w:val="00A831F8"/>
    <w:rsid w:val="00A84880"/>
    <w:rsid w:val="00A87E78"/>
    <w:rsid w:val="00A90AF3"/>
    <w:rsid w:val="00A93F5B"/>
    <w:rsid w:val="00A9656A"/>
    <w:rsid w:val="00A969CA"/>
    <w:rsid w:val="00A9771E"/>
    <w:rsid w:val="00AA4DE0"/>
    <w:rsid w:val="00AA5534"/>
    <w:rsid w:val="00AB6A57"/>
    <w:rsid w:val="00AD5F4F"/>
    <w:rsid w:val="00AE0C82"/>
    <w:rsid w:val="00AE5A9D"/>
    <w:rsid w:val="00AF081C"/>
    <w:rsid w:val="00AF0D0E"/>
    <w:rsid w:val="00AF201D"/>
    <w:rsid w:val="00AF45E2"/>
    <w:rsid w:val="00B07B9A"/>
    <w:rsid w:val="00B17780"/>
    <w:rsid w:val="00B230F3"/>
    <w:rsid w:val="00B30537"/>
    <w:rsid w:val="00B36600"/>
    <w:rsid w:val="00B36E23"/>
    <w:rsid w:val="00B50AA0"/>
    <w:rsid w:val="00B57E77"/>
    <w:rsid w:val="00B57F0A"/>
    <w:rsid w:val="00B63449"/>
    <w:rsid w:val="00B67623"/>
    <w:rsid w:val="00B70CF3"/>
    <w:rsid w:val="00B70EE1"/>
    <w:rsid w:val="00B71C36"/>
    <w:rsid w:val="00B80C34"/>
    <w:rsid w:val="00B82538"/>
    <w:rsid w:val="00B860CD"/>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54113"/>
    <w:rsid w:val="00C61826"/>
    <w:rsid w:val="00C61ADB"/>
    <w:rsid w:val="00C848FA"/>
    <w:rsid w:val="00CA1E49"/>
    <w:rsid w:val="00CA5A11"/>
    <w:rsid w:val="00CA5A72"/>
    <w:rsid w:val="00CB6B00"/>
    <w:rsid w:val="00CD4BD2"/>
    <w:rsid w:val="00CD714F"/>
    <w:rsid w:val="00CE0504"/>
    <w:rsid w:val="00CE05AD"/>
    <w:rsid w:val="00CE066A"/>
    <w:rsid w:val="00D04236"/>
    <w:rsid w:val="00D04D68"/>
    <w:rsid w:val="00D15672"/>
    <w:rsid w:val="00D16CA1"/>
    <w:rsid w:val="00D21D54"/>
    <w:rsid w:val="00D2418B"/>
    <w:rsid w:val="00D241EB"/>
    <w:rsid w:val="00D36331"/>
    <w:rsid w:val="00D36FFB"/>
    <w:rsid w:val="00D4196C"/>
    <w:rsid w:val="00D46D1E"/>
    <w:rsid w:val="00D56AA6"/>
    <w:rsid w:val="00D57438"/>
    <w:rsid w:val="00D63862"/>
    <w:rsid w:val="00D6787E"/>
    <w:rsid w:val="00D7540D"/>
    <w:rsid w:val="00D7558F"/>
    <w:rsid w:val="00D76520"/>
    <w:rsid w:val="00D829E0"/>
    <w:rsid w:val="00D86C54"/>
    <w:rsid w:val="00D8701A"/>
    <w:rsid w:val="00D87F39"/>
    <w:rsid w:val="00D92509"/>
    <w:rsid w:val="00DA336E"/>
    <w:rsid w:val="00DB142A"/>
    <w:rsid w:val="00DB4C5A"/>
    <w:rsid w:val="00DC1C25"/>
    <w:rsid w:val="00DC480D"/>
    <w:rsid w:val="00DD19F7"/>
    <w:rsid w:val="00DD2ACE"/>
    <w:rsid w:val="00DD33E8"/>
    <w:rsid w:val="00DE6C31"/>
    <w:rsid w:val="00E01A31"/>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D0C1A"/>
    <w:rsid w:val="00ED7A53"/>
    <w:rsid w:val="00EE23F2"/>
    <w:rsid w:val="00EE3686"/>
    <w:rsid w:val="00EE5A6A"/>
    <w:rsid w:val="00EF0362"/>
    <w:rsid w:val="00EF231C"/>
    <w:rsid w:val="00EF2A9D"/>
    <w:rsid w:val="00EF6BB2"/>
    <w:rsid w:val="00F02440"/>
    <w:rsid w:val="00F170EA"/>
    <w:rsid w:val="00F17A5B"/>
    <w:rsid w:val="00F23E50"/>
    <w:rsid w:val="00F370CF"/>
    <w:rsid w:val="00F373EB"/>
    <w:rsid w:val="00F41C96"/>
    <w:rsid w:val="00F42AC7"/>
    <w:rsid w:val="00F506DA"/>
    <w:rsid w:val="00F54FE5"/>
    <w:rsid w:val="00F55007"/>
    <w:rsid w:val="00F610E6"/>
    <w:rsid w:val="00F71D6D"/>
    <w:rsid w:val="00F77DEF"/>
    <w:rsid w:val="00F831C8"/>
    <w:rsid w:val="00F84E8C"/>
    <w:rsid w:val="00FA1106"/>
    <w:rsid w:val="00FB3241"/>
    <w:rsid w:val="00FB3466"/>
    <w:rsid w:val="00FC0771"/>
    <w:rsid w:val="00FD3DC3"/>
    <w:rsid w:val="00FD59DC"/>
    <w:rsid w:val="00FE16DA"/>
    <w:rsid w:val="00FE19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B230F3"/>
    <w:rPr>
      <w:b w:val="0"/>
      <w:bCs/>
      <w:i/>
      <w:iCs/>
      <w:spacing w:val="5"/>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F295741-4A1C-473C-8B9C-7E0BFD1E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8305</Words>
  <Characters>47344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cp:revision>
  <dcterms:created xsi:type="dcterms:W3CDTF">2018-01-12T22:29:00Z</dcterms:created>
  <dcterms:modified xsi:type="dcterms:W3CDTF">2018-01-12T22:29:00Z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