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4816A10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commentRangeStart w:id="1"/>
      <w:r w:rsidR="00B87F72" w:rsidRPr="00AF201D">
        <w:rPr>
          <w:rStyle w:val="Definition"/>
        </w:rPr>
        <w:t>lexical flexibility</w:t>
      </w:r>
      <w:commentRangeEnd w:id="1"/>
      <w:r w:rsidR="006B02B3">
        <w:rPr>
          <w:rStyle w:val="CommentReference"/>
        </w:rPr>
        <w:commentReference w:id="1"/>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w:t>
      </w:r>
      <w:bookmarkStart w:id="2" w:name="_GoBack"/>
      <w:bookmarkEnd w:id="2"/>
      <w:r w:rsidR="00D241EB">
        <w:t>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3" w:name="OLE_LINK1"/>
      <w:r w:rsidRPr="00773ECB">
        <w:rPr>
          <w:u w:val="single"/>
        </w:rPr>
        <w:t>English (Indo-European &gt; Germanic)</w:t>
      </w:r>
      <w:bookmarkEnd w:id="3"/>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4" w:name="_Ref503178250"/>
      <w:r>
        <w:t>a.</w:t>
      </w:r>
      <w:r>
        <w:tab/>
        <w:t xml:space="preserve">We just put the </w:t>
      </w:r>
      <w:r w:rsidRPr="00BC63F6">
        <w:rPr>
          <w:b/>
        </w:rPr>
        <w:t>shoes</w:t>
      </w:r>
      <w:r w:rsidRPr="00BC63F6">
        <w:t xml:space="preserve"> </w:t>
      </w:r>
      <w:r>
        <w:t>that were already made on a horse.</w:t>
      </w:r>
      <w:bookmarkEnd w:id="4"/>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5" w:name="_Ref503178257"/>
      <w:r>
        <w:t>a.</w:t>
      </w:r>
      <w:r>
        <w:tab/>
      </w:r>
      <w:r w:rsidRPr="00BC63F6">
        <w:rPr>
          <w:b/>
          <w:noProof/>
        </w:rPr>
        <w:t>buru</w:t>
      </w:r>
      <w:r>
        <w:rPr>
          <w:noProof/>
        </w:rPr>
        <w:t>=ko</w:t>
      </w:r>
      <w:r>
        <w:rPr>
          <w:noProof/>
        </w:rPr>
        <w:tab/>
        <w:t>bai-ke-d-a</w:t>
      </w:r>
      <w:bookmarkEnd w:id="5"/>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commentRangeStart w:id="6"/>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commentRangeEnd w:id="6"/>
      <w:r w:rsidR="00B606C2">
        <w:rPr>
          <w:rStyle w:val="CommentReference"/>
        </w:rPr>
        <w:commentReference w:id="6"/>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Languages may therefore become more or less categorial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5804CE94" w:rsidR="00E62FD7" w:rsidRDefault="00E62FD7" w:rsidP="001B5863">
      <w:r>
        <w:t>The specific research questions I ask in this dissertation are as follows</w:t>
      </w:r>
      <w:r w:rsidR="00854586">
        <w:t>. Each will be discussed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5CDE2AB0" w:rsidR="00E62FD7" w:rsidRDefault="00860784" w:rsidP="00E62FD7">
      <w:pPr>
        <w:pStyle w:val="ListParagraph"/>
        <w:numPr>
          <w:ilvl w:val="0"/>
          <w:numId w:val="10"/>
        </w:numPr>
      </w:pPr>
      <w:bookmarkStart w:id="7"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w:t>
      </w:r>
      <w:r w:rsidR="007B4490">
        <w:t xml:space="preserve"> or corpus dispersion</w:t>
      </w:r>
      <w:r w:rsidR="00B17780">
        <w:t xml:space="preserve"> of the lexeme?</w:t>
      </w:r>
      <w:r w:rsidR="009141BE">
        <w:t xml:space="preserve"> (Chapter 2)</w:t>
      </w:r>
    </w:p>
    <w:p w14:paraId="062D0998" w14:textId="04F047F1"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w:t>
      </w:r>
      <w:r w:rsidR="00DA7EB9">
        <w:t xml:space="preserve">concrete </w:t>
      </w:r>
      <w:r w:rsidR="00B17780">
        <w:t>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7"/>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8" w:name="_Ref502225471"/>
      <w:r>
        <w:t>Background</w:t>
      </w:r>
      <w:bookmarkEnd w:id="8"/>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w:t>
      </w:r>
      <w:r w:rsidR="000F44E4">
        <w:lastRenderedPageBreak/>
        <w:t xml:space="preserve">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25FA2E7C"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w:t>
      </w:r>
      <w:r w:rsidR="00D90C9A">
        <w:t>continues to be widely used for</w:t>
      </w:r>
      <w:r w:rsidRPr="00070468">
        <w:t xml:space="preserve"> syntactic analysis </w:t>
      </w:r>
      <w:r w:rsidR="00E44288">
        <w:t>across both functionalist and formalist approaches</w:t>
      </w:r>
      <w:r w:rsidRPr="00070468">
        <w:t xml:space="preserve">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40E8E60C" w14:textId="44B424DA" w:rsidR="00445B48" w:rsidRDefault="00BE0B4D" w:rsidP="00A755C0">
      <w:r w:rsidRPr="00BE0B4D">
        <w:lastRenderedPageBreak/>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6D71C30" w:rsidR="00F506DA" w:rsidRDefault="00F506DA" w:rsidP="00351494">
      <w:commentRangeStart w:id="9"/>
      <w:r w:rsidRPr="00F506DA">
        <w:t xml:space="preserve">Recognizing this difficulty, </w:t>
      </w:r>
      <w:r>
        <w:t xml:space="preserve">Croft </w:t>
      </w:r>
      <w:r w:rsidRPr="00F506DA">
        <w:rPr>
          <w:noProof/>
        </w:rPr>
        <w:t>(2000; 2001:29–47)</w:t>
      </w:r>
      <w:r w:rsidR="00063B34">
        <w:rPr>
          <w:noProof/>
        </w:rPr>
        <w:t xml:space="preserve"> </w:t>
      </w:r>
      <w:r w:rsidRPr="00F506DA">
        <w:t>provides a detailed critique of the distributional method and its implications, and utilizes prototype theory in offering a typologically-oriented theory of lexical categories instead.</w:t>
      </w:r>
      <w:commentRangeEnd w:id="9"/>
      <w:r w:rsidR="008742CB">
        <w:rPr>
          <w:rStyle w:val="CommentReference"/>
        </w:rPr>
        <w:commentReference w:id="9"/>
      </w:r>
      <w:r w:rsidRPr="00F506DA">
        <w:t xml:space="preserve"> Whenever distributional criteria conflict or fail to exclusively partition lexemes into distinct categories</w:t>
      </w:r>
      <w:r w:rsidR="000502AC">
        <w:t xml:space="preserve"> (which is to say, all of the time)</w:t>
      </w:r>
      <w:r w:rsidRPr="00F506DA">
        <w:t xml:space="preserve">,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w:t>
      </w:r>
      <w:r w:rsidRPr="000314AB">
        <w:lastRenderedPageBreak/>
        <w:t>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159A9AD5"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w:t>
      </w:r>
      <w:r w:rsidR="003C02AD">
        <w:t xml:space="preserve">typologically </w:t>
      </w:r>
      <w:r w:rsidR="00F831C8">
        <w:t xml:space="preserve">unmarked. However, when an item is used in a non-prototypical manner, such as when an entity-denoting concept is used for predication, that use is structurally and/or behaviorally </w:t>
      </w:r>
      <w:r w:rsidR="007C083A">
        <w:t xml:space="preserve">typologically </w:t>
      </w:r>
      <w:r w:rsidR="00F831C8">
        <w:t xml:space="preserve">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w:t>
      </w:r>
      <w:r w:rsidR="002008D9">
        <w:lastRenderedPageBreak/>
        <w:t>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 xml:space="preserve">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w:t>
      </w:r>
      <w:r w:rsidR="00795167" w:rsidRPr="00795167">
        <w:lastRenderedPageBreak/>
        <w:t>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w:t>
      </w:r>
      <w:r w:rsidR="00B70EE1" w:rsidRPr="00B70EE1">
        <w:lastRenderedPageBreak/>
        <w:t>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2E3AE210"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w:t>
      </w:r>
      <w:r w:rsidR="00A0213C">
        <w:t>zero-coded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10" w:name="_Ref506553143"/>
      <w:r>
        <w:t>Functional Motivations for Lexical Flexibility</w:t>
      </w:r>
      <w:bookmarkEnd w:id="10"/>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w:t>
      </w:r>
      <w:r w:rsidR="00B71C36">
        <w:lastRenderedPageBreak/>
        <w:t xml:space="preserve">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w:t>
      </w:r>
      <w:commentRangeStart w:id="11"/>
      <w:r>
        <w:t>most forms begin with a propensity or predisposition to become N’s or V’s; and often this momentum can be reversed by only special morphology</w:t>
      </w:r>
      <w:commentRangeEnd w:id="11"/>
      <w:r w:rsidR="005D2388">
        <w:rPr>
          <w:rStyle w:val="CommentReference"/>
        </w:rPr>
        <w:commentReference w:id="11"/>
      </w:r>
      <w:r>
        <w:t>.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w:t>
      </w:r>
      <w:r w:rsidR="00B30537" w:rsidRPr="00B30537">
        <w:lastRenderedPageBreak/>
        <w:t>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12" w:name="_Ref503355089"/>
      <w:r>
        <w:t>Data &amp; Methods</w:t>
      </w:r>
      <w:bookmarkEnd w:id="12"/>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w:t>
      </w:r>
      <w:r w:rsidR="00AD363B">
        <w:lastRenderedPageBreak/>
        <w:t xml:space="preserve">Chitimacha </w:t>
      </w:r>
      <w:r w:rsidR="003F1417">
        <w:t xml:space="preserve">property concepts exhibit interesting behavior wherein they behave </w:t>
      </w:r>
      <w:r w:rsidR="005148F8">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13" w:name="_Ref503350959"/>
      <w:r w:rsidRPr="00224873">
        <w:lastRenderedPageBreak/>
        <w:t xml:space="preserve">Table </w:t>
      </w:r>
      <w:r w:rsidR="00D97974">
        <w:fldChar w:fldCharType="begin"/>
      </w:r>
      <w:r w:rsidR="00D97974">
        <w:instrText xml:space="preserve"> SEQ Table \* ARABIC </w:instrText>
      </w:r>
      <w:r w:rsidR="00D97974">
        <w:fldChar w:fldCharType="separate"/>
      </w:r>
      <w:r w:rsidRPr="00224873">
        <w:rPr>
          <w:noProof/>
        </w:rPr>
        <w:t>1</w:t>
      </w:r>
      <w:r w:rsidR="00D97974">
        <w:rPr>
          <w:noProof/>
        </w:rPr>
        <w:fldChar w:fldCharType="end"/>
      </w:r>
      <w:bookmarkEnd w:id="13"/>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be used flexibly. Some have </w:t>
      </w:r>
      <w:r w:rsidR="000B3EF6">
        <w:t>implied</w:t>
      </w:r>
      <w:r w:rsidR="00E0587B">
        <w:t xml:space="preserve"> that practically any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1BFD2499" w:rsidR="00E479E5" w:rsidRDefault="00855E93" w:rsidP="002E0626">
      <w:r>
        <w:t>Question 2</w:t>
      </w:r>
      <w:r w:rsidR="009C7CB1">
        <w:t xml:space="preserve">) Does the degree of lexical flexibility for an item </w:t>
      </w:r>
      <w:r w:rsidR="00095D94">
        <w:t>depend on its token frequency?</w:t>
      </w:r>
      <w:r w:rsidR="006D07A4">
        <w:t xml:space="preserve"> </w:t>
      </w:r>
      <w:r w:rsidR="00C15558">
        <w:t>To my knowledge, this question has not been addressed in the literature on lexical flexibility.</w:t>
      </w:r>
      <w:r w:rsidR="00754A8B">
        <w:t xml:space="preserve"> However, Gries </w:t>
      </w:r>
      <w:r w:rsidR="004F46D8">
        <w:t>(</w:t>
      </w:r>
      <w:r w:rsidR="00D57D6B">
        <w:t>2008, 2010, 2015</w:t>
      </w:r>
      <w:r w:rsidR="004F46D8">
        <w:t>)</w:t>
      </w:r>
      <w:r w:rsidR="00754A8B">
        <w:t xml:space="preserve"> has shown that </w:t>
      </w:r>
      <w:r w:rsidR="00D7439C">
        <w:t xml:space="preserve">token frequency is often less predictive than </w:t>
      </w:r>
      <w:r w:rsidR="00D7439C" w:rsidRPr="00414B41">
        <w:rPr>
          <w:rStyle w:val="Definition"/>
        </w:rPr>
        <w:t>corpus dispersion</w:t>
      </w:r>
      <w:r w:rsidR="00D7439C">
        <w:t xml:space="preserve">, </w:t>
      </w:r>
      <w:r w:rsidR="00D57D6B">
        <w:t xml:space="preserve">that is, how regularly an </w:t>
      </w:r>
      <w:r w:rsidR="00D26F58">
        <w:t>item appears in a corpus</w:t>
      </w:r>
      <w:r w:rsidR="00D7439C">
        <w:t>.</w:t>
      </w:r>
      <w:r w:rsidR="00CC3C46">
        <w:t xml:space="preserve"> I will examine the effects of both </w:t>
      </w:r>
      <w:r w:rsidR="007D7EF4">
        <w:t xml:space="preserve">token frequency and corpus dispersion on lexical flexibility. </w:t>
      </w:r>
      <w:r w:rsidR="00B820B3">
        <w:t xml:space="preserve">I hypothesize </w:t>
      </w:r>
      <w:r w:rsidR="007D7EF4">
        <w:t xml:space="preserve">that corpus dispersion will be more predictive of </w:t>
      </w:r>
      <w:r w:rsidR="002E0626">
        <w:t xml:space="preserve">variation in lexical flexibility than token frequency, and that items with a greater corpus dispersion will show greater degrees of lexical flexibility on average. </w:t>
      </w:r>
      <w:r w:rsidR="00D25D8F">
        <w:t>If true, plausible explanations might be that</w:t>
      </w:r>
      <w:r w:rsidR="00254BDC">
        <w:t xml:space="preserve"> more frequent items are more cognitively </w:t>
      </w:r>
      <w:r w:rsidR="00254BDC">
        <w:lastRenderedPageBreak/>
        <w:t xml:space="preserve">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4" w:name="_Ref503178933"/>
      <w:r>
        <w:t>Outline</w:t>
      </w:r>
      <w:bookmarkEnd w:id="14"/>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r w:rsidR="00020529">
        <w:lastRenderedPageBreak/>
        <w:t xml:space="preserve">above, and proceed to answer </w:t>
      </w:r>
      <w:r w:rsidR="00725246">
        <w:t xml:space="preserve">the </w:t>
      </w:r>
      <w:r w:rsidR="00020529">
        <w:t>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5" w:name="_Ref503526122"/>
      <w:r>
        <w:t xml:space="preserve">Figure </w:t>
      </w:r>
      <w:r w:rsidR="00D97974">
        <w:fldChar w:fldCharType="begin"/>
      </w:r>
      <w:r w:rsidR="00D97974">
        <w:instrText xml:space="preserve"> SEQ Figure \* ARABIC </w:instrText>
      </w:r>
      <w:r w:rsidR="00D97974">
        <w:fldChar w:fldCharType="separate"/>
      </w:r>
      <w:r>
        <w:rPr>
          <w:noProof/>
        </w:rPr>
        <w:t>1</w:t>
      </w:r>
      <w:r w:rsidR="00D97974">
        <w:rPr>
          <w:noProof/>
        </w:rPr>
        <w:fldChar w:fldCharType="end"/>
      </w:r>
      <w:bookmarkEnd w:id="15"/>
      <w:r>
        <w:t>. The topicality hierarchy</w:t>
      </w:r>
    </w:p>
    <w:p w14:paraId="5FE94350" w14:textId="09960ABD" w:rsidR="00D829E0" w:rsidRDefault="00D829E0" w:rsidP="00062402">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AF59D5">
        <w:t xml:space="preserve"> However,</w:t>
      </w:r>
      <w:r w:rsidR="009840EF">
        <w:t xml:space="preserve"> it is generally recognized that this hierarchy </w:t>
      </w:r>
      <w:r w:rsidR="00915884">
        <w:t xml:space="preserve">comprises </w:t>
      </w:r>
      <w:r w:rsidR="009840EF">
        <w:t xml:space="preserve">several </w:t>
      </w:r>
      <w:r w:rsidR="00327D62">
        <w:t>sub</w:t>
      </w:r>
      <w:r w:rsidR="00D72B3A">
        <w:t>scales</w:t>
      </w:r>
      <w:r w:rsidR="00915884">
        <w:t xml:space="preserve"> (animate-inanimate, abstract-concrete, lexical-grammatical, etc.)</w:t>
      </w:r>
      <w:r w:rsidR="005C350B">
        <w:t xml:space="preserve">, and </w:t>
      </w:r>
      <w:r w:rsidR="00B57E87">
        <w:t xml:space="preserve">indeed there is </w:t>
      </w:r>
      <w:r w:rsidR="00B57E87">
        <w:lastRenderedPageBreak/>
        <w:t xml:space="preserve">reason to question </w:t>
      </w:r>
      <w:r w:rsidR="002B17FA">
        <w:t xml:space="preserve">whether the topicality hierarchy has substance beyond the convergent effects of its </w:t>
      </w:r>
      <w:r w:rsidR="00327D62">
        <w:t>individual subscales</w:t>
      </w:r>
      <w:r w:rsidR="00507AA2">
        <w:t xml:space="preserve"> </w:t>
      </w:r>
      <w:r w:rsidR="000356F0">
        <w:t>(</w:t>
      </w:r>
      <w:r w:rsidR="00EE5122">
        <w:t xml:space="preserve">Gries 2003:29–31; </w:t>
      </w:r>
      <w:r w:rsidR="00380B80">
        <w:t>Cristofaro 2013;</w:t>
      </w:r>
      <w:r w:rsidR="00233C5F">
        <w:t xml:space="preserve"> Song 201</w:t>
      </w:r>
      <w:r w:rsidR="008C4842">
        <w:t>8</w:t>
      </w:r>
      <w:r w:rsidR="00233C5F">
        <w:t>:314–315;</w:t>
      </w:r>
      <w:r w:rsidR="00380B80">
        <w:t xml:space="preserve"> </w:t>
      </w:r>
      <w:r w:rsidR="00592905">
        <w:t>Bickel</w:t>
      </w:r>
      <w:r w:rsidR="00B7449E">
        <w:t xml:space="preserve">, </w:t>
      </w:r>
      <w:r w:rsidR="00734A16" w:rsidRPr="00734A16">
        <w:t>Witzlack-Makarevich</w:t>
      </w:r>
      <w:r w:rsidR="00734A16">
        <w:t xml:space="preserve"> &amp; </w:t>
      </w:r>
      <w:r w:rsidR="00734A16" w:rsidRPr="00734A16">
        <w:t>Zakharko</w:t>
      </w:r>
      <w:r w:rsidR="00734A16">
        <w:t xml:space="preserve"> n.d.</w:t>
      </w:r>
      <w:r w:rsidR="000356F0">
        <w:t>)</w:t>
      </w:r>
      <w:r w:rsidR="00507AA2">
        <w:t>.</w:t>
      </w:r>
      <w:r w:rsidR="009248A0">
        <w:t xml:space="preserve"> As such, I will examine the semantic features thought to contribute to the topicality hierarchy</w:t>
      </w:r>
      <w:r w:rsidR="00DD6F3F">
        <w:t xml:space="preserve"> (the subscales listed above) individually </w:t>
      </w:r>
      <w:r w:rsidR="00E55344">
        <w:t xml:space="preserve">as well as collectively. </w:t>
      </w:r>
      <w:r w:rsidR="004A665A">
        <w:t>I hypothesize that items typically placed higher on the topicality hierarchy</w:t>
      </w:r>
      <w:r w:rsidR="000B1DCC">
        <w:t xml:space="preserve"> (and the corresponding end of each subscale</w:t>
      </w:r>
      <w:r w:rsidR="00D71DED">
        <w:t xml:space="preserve">) </w:t>
      </w:r>
      <w:r w:rsidR="004A665A">
        <w:t>are more likely to appear in nominal constructions, while those lower on the hierarchy are more likely to appear in verbal constructions, and to exhibit lexical flexibility generally.</w:t>
      </w:r>
    </w:p>
    <w:p w14:paraId="12C84415" w14:textId="4D2FBF41" w:rsidR="00F170EA" w:rsidRPr="00D829E0" w:rsidRDefault="00F170EA" w:rsidP="00147BDF">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generally means that core property concepts </w:t>
      </w:r>
      <w:r w:rsidR="002C7EBA">
        <w:t xml:space="preserve">belong to constructions strongly associated with either reference or predication. </w:t>
      </w:r>
      <w:r w:rsidR="00E5766A">
        <w:t xml:space="preserve">Moreover, core property concepts </w:t>
      </w:r>
      <w:r w:rsidR="00E96858">
        <w:t>exhibit more time-stability that peripheral property concepts</w:t>
      </w:r>
      <w:r w:rsidR="0017370C">
        <w:t xml:space="preserve">. Given the suggestion that </w:t>
      </w:r>
      <w:r w:rsidR="00254CAD">
        <w:t>time-stable items are more likely to be encoded using referential constructions, and events with predicative constructions (</w:t>
      </w:r>
      <w:r w:rsidR="00254CAD">
        <w:rPr>
          <w:lang w:val="es-MX"/>
        </w:rPr>
        <w:t>Givón 1979:320–321</w:t>
      </w:r>
      <w:r w:rsidR="00254CAD">
        <w:t>), we might therefore expect to find greater nominal c</w:t>
      </w:r>
      <w:r w:rsidR="00147BDF">
        <w:t>oding (and thus less flexibility) for core property concepts than for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w:t>
      </w:r>
      <w:r>
        <w:lastRenderedPageBreak/>
        <w:t xml:space="preserve">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I hope to complete the majority of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is laid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lastRenderedPageBreak/>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4505DF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2A314910" w14:textId="3842FC7F" w:rsidR="00056077" w:rsidRDefault="00056077" w:rsidP="001A2233">
      <w:pPr>
        <w:keepLines/>
        <w:widowControl w:val="0"/>
        <w:autoSpaceDE w:val="0"/>
        <w:autoSpaceDN w:val="0"/>
        <w:adjustRightInd w:val="0"/>
        <w:spacing w:before="120" w:after="120" w:line="240" w:lineRule="auto"/>
        <w:ind w:left="480" w:hanging="480"/>
        <w:rPr>
          <w:noProof/>
        </w:rPr>
      </w:pPr>
      <w:r w:rsidRPr="00734A16">
        <w:t>Bickel, Balthasar, Alena Witzlack-Makarevich &amp; Taras Zakharko.</w:t>
      </w:r>
      <w:r w:rsidR="00CA3E5A">
        <w:t xml:space="preserve"> n.d.</w:t>
      </w:r>
      <w:r w:rsidRPr="00734A16">
        <w:t xml:space="preserve"> Typological evidence against universal effects of referential scales on case alignment. M</w:t>
      </w:r>
      <w:r w:rsidR="00641E24">
        <w:t>anuscript.</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8B1B15B" w14:textId="7FC64390" w:rsidR="005B2568" w:rsidRDefault="00E40DF1" w:rsidP="001A2233">
      <w:pPr>
        <w:keepLines/>
        <w:widowControl w:val="0"/>
        <w:autoSpaceDE w:val="0"/>
        <w:autoSpaceDN w:val="0"/>
        <w:adjustRightInd w:val="0"/>
        <w:spacing w:before="120" w:after="120" w:line="240" w:lineRule="auto"/>
        <w:ind w:left="480" w:hanging="480"/>
        <w:rPr>
          <w:noProof/>
        </w:rPr>
      </w:pPr>
      <w:r w:rsidRPr="00E40DF1">
        <w:rPr>
          <w:noProof/>
        </w:rPr>
        <w:t xml:space="preserve">Cristofaro, Sonia. 2013. The referential hierarchy: Reviewing the evidence in diachronic perspective. In Dik Bakker &amp; Martin Haspelmath (eds.), </w:t>
      </w:r>
      <w:r w:rsidRPr="00E40DF1">
        <w:rPr>
          <w:rStyle w:val="BookTitle"/>
        </w:rPr>
        <w:t>Languages across boundaries: Studies in memory of Anna Siewierska</w:t>
      </w:r>
      <w:r w:rsidRPr="00E40DF1">
        <w:rPr>
          <w:noProof/>
        </w:rPr>
        <w:t xml:space="preserve">, </w:t>
      </w:r>
      <w:r>
        <w:rPr>
          <w:noProof/>
        </w:rPr>
        <w:t xml:space="preserve">pp. </w:t>
      </w:r>
      <w:r w:rsidRPr="00E40DF1">
        <w:rPr>
          <w:noProof/>
        </w:rPr>
        <w:t xml:space="preserve">69–94. Berlin: </w:t>
      </w:r>
      <w:r w:rsidR="009F045D">
        <w:rPr>
          <w:noProof/>
        </w:rPr>
        <w:t>Mouton de Gruyter</w:t>
      </w:r>
      <w:r w:rsidRPr="00E40DF1">
        <w:rPr>
          <w:noProof/>
        </w:rPr>
        <w:t>.</w:t>
      </w:r>
    </w:p>
    <w:p w14:paraId="608704AC" w14:textId="4418062C"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lastRenderedPageBreak/>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0050FB59" w14:textId="4D33EB49" w:rsidR="000B00B9" w:rsidRDefault="000B1A28" w:rsidP="000B00B9">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5BD63AE4" w14:textId="58ACC29B" w:rsidR="000B00B9" w:rsidRDefault="000B00B9" w:rsidP="000B00B9">
      <w:pPr>
        <w:keepLines/>
        <w:widowControl w:val="0"/>
        <w:autoSpaceDE w:val="0"/>
        <w:autoSpaceDN w:val="0"/>
        <w:adjustRightInd w:val="0"/>
        <w:spacing w:before="120" w:after="120" w:line="240" w:lineRule="auto"/>
        <w:ind w:left="480" w:hanging="480"/>
        <w:rPr>
          <w:noProof/>
        </w:rPr>
      </w:pPr>
      <w:r>
        <w:rPr>
          <w:noProof/>
        </w:rPr>
        <w:t xml:space="preserve">Gries, Stefan Th. 2003. </w:t>
      </w:r>
      <w:r w:rsidRPr="005B3FF7">
        <w:rPr>
          <w:rStyle w:val="BookTitle"/>
        </w:rPr>
        <w:t>Multifactorial analysis in corpus linguistics: A study of particle placement.</w:t>
      </w:r>
      <w:r>
        <w:rPr>
          <w:noProof/>
        </w:rPr>
        <w:t xml:space="preserve"> (Open Linguistics). New York: Continuum.</w:t>
      </w:r>
    </w:p>
    <w:p w14:paraId="76B2993C" w14:textId="1EE27600" w:rsidR="00D77282" w:rsidRDefault="00D77282" w:rsidP="000B00B9">
      <w:pPr>
        <w:keepLines/>
        <w:widowControl w:val="0"/>
        <w:autoSpaceDE w:val="0"/>
        <w:autoSpaceDN w:val="0"/>
        <w:adjustRightInd w:val="0"/>
        <w:spacing w:before="120" w:after="120" w:line="240" w:lineRule="auto"/>
        <w:ind w:left="480" w:hanging="480"/>
        <w:rPr>
          <w:noProof/>
        </w:rPr>
      </w:pPr>
      <w:r w:rsidRPr="00D77282">
        <w:rPr>
          <w:noProof/>
        </w:rPr>
        <w:t xml:space="preserve">Gries, Stefan Th. 2008. Dispersions and adjusted frequencies in corpora. </w:t>
      </w:r>
      <w:r w:rsidRPr="00D77282">
        <w:rPr>
          <w:rStyle w:val="BookTitle"/>
        </w:rPr>
        <w:t>International Journal of Corpus Linguistics</w:t>
      </w:r>
      <w:r w:rsidRPr="00D77282">
        <w:rPr>
          <w:noProof/>
        </w:rPr>
        <w:t xml:space="preserve"> 13(4)</w:t>
      </w:r>
      <w:r>
        <w:rPr>
          <w:noProof/>
        </w:rPr>
        <w:t>:</w:t>
      </w:r>
      <w:r w:rsidRPr="00D77282">
        <w:rPr>
          <w:noProof/>
        </w:rPr>
        <w:t xml:space="preserve"> 403–437.</w:t>
      </w:r>
    </w:p>
    <w:p w14:paraId="70D5A2EE" w14:textId="4E693070" w:rsidR="00F278C6" w:rsidRDefault="00F278C6" w:rsidP="000B00B9">
      <w:pPr>
        <w:keepLines/>
        <w:widowControl w:val="0"/>
        <w:autoSpaceDE w:val="0"/>
        <w:autoSpaceDN w:val="0"/>
        <w:adjustRightInd w:val="0"/>
        <w:spacing w:before="120" w:after="120" w:line="240" w:lineRule="auto"/>
        <w:ind w:left="480" w:hanging="480"/>
        <w:rPr>
          <w:noProof/>
        </w:rPr>
      </w:pPr>
      <w:r w:rsidRPr="00F278C6">
        <w:rPr>
          <w:noProof/>
        </w:rPr>
        <w:t xml:space="preserve">Gries, Stefan Th. 2010. Dispersions and adjusted frequencies in corpora: Further explorations. In Stefan Th. Gries, Stephanie Wulff &amp; Mark Davies (eds.), </w:t>
      </w:r>
      <w:r w:rsidRPr="00F278C6">
        <w:rPr>
          <w:rStyle w:val="BookTitle"/>
        </w:rPr>
        <w:t>Corpus linguistic applications: Current studies, new directions</w:t>
      </w:r>
      <w:r w:rsidRPr="00F278C6">
        <w:rPr>
          <w:noProof/>
        </w:rPr>
        <w:t>,</w:t>
      </w:r>
      <w:r>
        <w:rPr>
          <w:noProof/>
        </w:rPr>
        <w:t xml:space="preserve"> pp.</w:t>
      </w:r>
      <w:r w:rsidRPr="00F278C6">
        <w:rPr>
          <w:noProof/>
        </w:rPr>
        <w:t xml:space="preserve"> 197–212. Amsterdam: Rodopi.</w:t>
      </w:r>
    </w:p>
    <w:p w14:paraId="34740ABC" w14:textId="421FB84B" w:rsidR="005C1A79" w:rsidRDefault="005C1A79" w:rsidP="000B00B9">
      <w:pPr>
        <w:keepLines/>
        <w:widowControl w:val="0"/>
        <w:autoSpaceDE w:val="0"/>
        <w:autoSpaceDN w:val="0"/>
        <w:adjustRightInd w:val="0"/>
        <w:spacing w:before="120" w:after="120" w:line="240" w:lineRule="auto"/>
        <w:ind w:left="480" w:hanging="480"/>
        <w:rPr>
          <w:noProof/>
        </w:rPr>
      </w:pPr>
      <w:r w:rsidRPr="005C1A79">
        <w:rPr>
          <w:noProof/>
        </w:rPr>
        <w:t xml:space="preserve">Gries, Stefan Th. &amp; Nick C. Ellis. 2015. Statistical measures for usage-based linguistics. </w:t>
      </w:r>
      <w:r w:rsidRPr="00B115ED">
        <w:rPr>
          <w:rStyle w:val="BookTitle"/>
        </w:rPr>
        <w:t>Language Learning</w:t>
      </w:r>
      <w:r w:rsidR="000F5783">
        <w:rPr>
          <w:noProof/>
        </w:rPr>
        <w:t xml:space="preserve"> 6</w:t>
      </w:r>
      <w:r w:rsidR="00B115ED">
        <w:rPr>
          <w:noProof/>
        </w:rPr>
        <w:t>5 (Supplement 1)</w:t>
      </w:r>
      <w:r w:rsidRPr="005C1A79">
        <w:rPr>
          <w:noProof/>
        </w:rPr>
        <w:t xml:space="preserve">, </w:t>
      </w:r>
      <w:r>
        <w:rPr>
          <w:noProof/>
        </w:rPr>
        <w:t xml:space="preserve">pp. </w:t>
      </w:r>
      <w:r w:rsidR="00B115ED">
        <w:rPr>
          <w:noProof/>
        </w:rPr>
        <w:t>1</w:t>
      </w:r>
      <w:r w:rsidRPr="005C1A79">
        <w:rPr>
          <w:noProof/>
        </w:rPr>
        <w:t>–</w:t>
      </w:r>
      <w:r w:rsidR="00B115ED" w:rsidRPr="005C1A79">
        <w:rPr>
          <w:noProof/>
        </w:rPr>
        <w:t>28</w:t>
      </w:r>
      <w:r>
        <w:rPr>
          <w:noProof/>
        </w:rPr>
        <w:t>.</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11"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lastRenderedPageBreak/>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12"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lastRenderedPageBreak/>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4E56DB9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5338027" w14:textId="001B5C0C" w:rsidR="00863262" w:rsidRDefault="001E367B" w:rsidP="001A2233">
      <w:pPr>
        <w:keepLines/>
        <w:widowControl w:val="0"/>
        <w:autoSpaceDE w:val="0"/>
        <w:autoSpaceDN w:val="0"/>
        <w:adjustRightInd w:val="0"/>
        <w:spacing w:before="120" w:after="120" w:line="240" w:lineRule="auto"/>
        <w:ind w:left="480" w:hanging="480"/>
        <w:rPr>
          <w:noProof/>
        </w:rPr>
      </w:pPr>
      <w:r w:rsidRPr="001E367B">
        <w:rPr>
          <w:noProof/>
        </w:rPr>
        <w:t xml:space="preserve">Song, Jae Jung. 2018. </w:t>
      </w:r>
      <w:r w:rsidRPr="001E367B">
        <w:rPr>
          <w:rStyle w:val="BookTitle"/>
        </w:rPr>
        <w:t>Linguistic typology.</w:t>
      </w:r>
      <w:r w:rsidRPr="001E367B">
        <w:rPr>
          <w:noProof/>
        </w:rPr>
        <w:t xml:space="preserve"> (Oxford Textbooks in Linguistics). Oxford: Oxford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309DB10A" w14:textId="3EB6D592" w:rsidR="00056077" w:rsidRDefault="000B1A28" w:rsidP="000B00B9">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056077" w:rsidSect="00CA5A11">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W. Hieber" w:date="2018-03-04T19:10:00Z" w:initials="DWH">
    <w:p w14:paraId="1F26CA5E" w14:textId="102AF1A6" w:rsidR="006B02B3" w:rsidRDefault="006B02B3">
      <w:pPr>
        <w:pStyle w:val="CommentText"/>
      </w:pPr>
      <w:r>
        <w:rPr>
          <w:rStyle w:val="CommentReference"/>
        </w:rPr>
        <w:annotationRef/>
      </w:r>
      <w:r>
        <w:t>Qualify my use of this term immediately, noting that it c</w:t>
      </w:r>
      <w:r w:rsidR="00110086">
        <w:t>an have a broader understanding for many researchers, but that I’m looking at a narrow one, or perhaps just a narrow domain of the broader definition.</w:t>
      </w:r>
    </w:p>
  </w:comment>
  <w:comment w:id="6" w:author="Daniel W. Hieber" w:date="2018-03-04T19:00:00Z" w:initials="DWH">
    <w:p w14:paraId="202CBE12" w14:textId="282C0EED" w:rsidR="00B606C2" w:rsidRDefault="00B606C2">
      <w:pPr>
        <w:pStyle w:val="CommentText"/>
      </w:pPr>
      <w:r>
        <w:rPr>
          <w:rStyle w:val="CommentReference"/>
        </w:rPr>
        <w:annotationRef/>
      </w:r>
      <w:r>
        <w:t>STG: This suggests that lexical choice cognitively precedes categorical choice</w:t>
      </w:r>
      <w:r w:rsidR="00027C37">
        <w:t>, but this may not be the case. Be certain to avoid language that commits you to cognitive claims like this, unless you can support those claims with the literature.</w:t>
      </w:r>
    </w:p>
  </w:comment>
  <w:comment w:id="9" w:author="Daniel W. Hieber" w:date="2018-02-20T17:05:00Z" w:initials="DWH">
    <w:p w14:paraId="6E2093E4" w14:textId="2D76925F" w:rsidR="008742CB" w:rsidRDefault="008742CB">
      <w:pPr>
        <w:pStyle w:val="CommentText"/>
      </w:pPr>
      <w:r>
        <w:rPr>
          <w:rStyle w:val="CommentReference"/>
        </w:rPr>
        <w:annotationRef/>
      </w:r>
      <w:r>
        <w:t xml:space="preserve">Croft actually does </w:t>
      </w:r>
      <w:r>
        <w:rPr>
          <w:i/>
        </w:rPr>
        <w:t>not</w:t>
      </w:r>
      <w:r>
        <w:t xml:space="preserve"> critique the distributional method. Rather, he takes the distributional method, but critiques its inconsistent application</w:t>
      </w:r>
      <w:r w:rsidR="005C5792">
        <w:t xml:space="preserve"> (i.e. methodological opportunism). Croft (2010) makes this clear.</w:t>
      </w:r>
      <w:r w:rsidR="00613031">
        <w:t xml:space="preserve"> Croft also has a paper arguing against Aarts in this regard.</w:t>
      </w:r>
      <w:r w:rsidR="009D72C1">
        <w:t xml:space="preserve"> Read both of those papers as well.</w:t>
      </w:r>
    </w:p>
    <w:p w14:paraId="35D0EA41" w14:textId="7E35F405" w:rsidR="005C5792" w:rsidRDefault="005C5792">
      <w:pPr>
        <w:pStyle w:val="CommentText"/>
      </w:pPr>
    </w:p>
    <w:p w14:paraId="76DF5435" w14:textId="13F63813" w:rsidR="00784A14" w:rsidRPr="00784A14" w:rsidRDefault="00784A14">
      <w:pPr>
        <w:pStyle w:val="CommentText"/>
        <w:rPr>
          <w:b/>
        </w:rPr>
      </w:pPr>
      <w:r>
        <w:rPr>
          <w:b/>
        </w:rPr>
        <w:t>References</w:t>
      </w:r>
    </w:p>
    <w:p w14:paraId="24254C56" w14:textId="1F7B8D80" w:rsidR="005C5792" w:rsidRPr="008742CB" w:rsidRDefault="005C5792">
      <w:pPr>
        <w:pStyle w:val="CommentText"/>
      </w:pPr>
      <w:r>
        <w:t>Croft, William. 2010.</w:t>
      </w:r>
      <w:r w:rsidR="00362B63">
        <w:t xml:space="preserve"> Ten unwarranted assumptions in syntactic argumentation. In Kasper Boye &amp; Elisabeth Engberg-Pedersen</w:t>
      </w:r>
      <w:r w:rsidR="0024698F">
        <w:t xml:space="preserve"> (eds.), </w:t>
      </w:r>
      <w:r w:rsidR="0024698F">
        <w:rPr>
          <w:i/>
        </w:rPr>
        <w:t>Language usage and language structure</w:t>
      </w:r>
      <w:r w:rsidR="0024698F">
        <w:t>, pp. 313–350. Mouton de Gruyter.</w:t>
      </w:r>
    </w:p>
  </w:comment>
  <w:comment w:id="11" w:author="Daniel W. Hieber" w:date="2018-02-20T17:25:00Z" w:initials="DWH">
    <w:p w14:paraId="1F80D006" w14:textId="77777777" w:rsidR="005F0F1D" w:rsidRDefault="005D2388">
      <w:pPr>
        <w:pStyle w:val="CommentText"/>
      </w:pPr>
      <w:r>
        <w:rPr>
          <w:rStyle w:val="CommentReference"/>
        </w:rPr>
        <w:annotationRef/>
      </w:r>
      <w:r>
        <w:t>Bill: “</w:t>
      </w:r>
      <w:r w:rsidR="00A26142">
        <w:t>if there is special morphology</w:t>
      </w:r>
      <w:r w:rsidR="00E10D30">
        <w:t xml:space="preserve"> used to encode</w:t>
      </w:r>
      <w:r w:rsidR="001120E7">
        <w:t xml:space="preserve"> that a concept</w:t>
      </w:r>
      <w:r w:rsidR="003E1DE7">
        <w:t xml:space="preserve"> is being used</w:t>
      </w:r>
      <w:r w:rsidR="00465247">
        <w:t xml:space="preserve"> in a nonprototypical</w:t>
      </w:r>
      <w:r w:rsidR="00AA036C">
        <w:t xml:space="preserve"> propositional act, </w:t>
      </w:r>
      <w:r w:rsidR="00D108CE">
        <w:t>that only further</w:t>
      </w:r>
      <w:r w:rsidR="009D5ED8">
        <w:t xml:space="preserve"> strengthens</w:t>
      </w:r>
      <w:r w:rsidR="000C53DA">
        <w:t xml:space="preserve"> the idea that</w:t>
      </w:r>
      <w:r w:rsidR="00C258E0">
        <w:t xml:space="preserve"> the zero-coded word</w:t>
      </w:r>
      <w:r w:rsidR="00F81C06">
        <w:t xml:space="preserve"> is exclusively associated </w:t>
      </w:r>
      <w:r w:rsidR="00BF18E0">
        <w:t>with the propositional act</w:t>
      </w:r>
      <w:r w:rsidR="005F0F1D">
        <w:t>”</w:t>
      </w:r>
    </w:p>
    <w:p w14:paraId="0E8A0037" w14:textId="77777777" w:rsidR="005F0F1D" w:rsidRDefault="005F0F1D">
      <w:pPr>
        <w:pStyle w:val="CommentText"/>
      </w:pPr>
    </w:p>
    <w:p w14:paraId="49D946A1" w14:textId="0895326B" w:rsidR="005D2388" w:rsidRDefault="005F0F1D">
      <w:pPr>
        <w:pStyle w:val="CommentText"/>
      </w:pPr>
      <w:r>
        <w:t>Bill made it sound like he was saying the opposite of Hopper &amp; Thompson, but I think maybe he misinterpreted them, and is saying the same thing.</w:t>
      </w:r>
      <w:r w:rsidR="00CA492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26CA5E" w15:done="0"/>
  <w15:commentEx w15:paraId="202CBE12" w15:done="0"/>
  <w15:commentEx w15:paraId="24254C56" w15:done="0"/>
  <w15:commentEx w15:paraId="49D94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26CA5E" w16cid:durableId="1E46C330"/>
  <w16cid:commentId w16cid:paraId="202CBE12" w16cid:durableId="1E46C0E3"/>
  <w16cid:commentId w16cid:paraId="24254C56" w16cid:durableId="1E36D3CF"/>
  <w16cid:commentId w16cid:paraId="49D946A1" w16cid:durableId="1E36D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E4ED" w14:textId="77777777" w:rsidR="00281E2C" w:rsidRDefault="00281E2C" w:rsidP="00CA5A11">
      <w:r>
        <w:separator/>
      </w:r>
    </w:p>
  </w:endnote>
  <w:endnote w:type="continuationSeparator" w:id="0">
    <w:p w14:paraId="0EDFCBD5" w14:textId="77777777" w:rsidR="00281E2C" w:rsidRDefault="00281E2C"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2620A29C"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110086">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2BCF93F2"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110086">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368FA" w14:textId="77777777" w:rsidR="00281E2C" w:rsidRDefault="00281E2C" w:rsidP="00CA5A11">
      <w:r>
        <w:separator/>
      </w:r>
    </w:p>
  </w:footnote>
  <w:footnote w:type="continuationSeparator" w:id="0">
    <w:p w14:paraId="541ED7D6" w14:textId="77777777" w:rsidR="00281E2C" w:rsidRDefault="00281E2C"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W. Hieber">
    <w15:presenceInfo w15:providerId="Windows Live" w15:userId="f7cf2c9d3dc7f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11A8"/>
    <w:rsid w:val="0001132C"/>
    <w:rsid w:val="00012724"/>
    <w:rsid w:val="00012C2F"/>
    <w:rsid w:val="000138C5"/>
    <w:rsid w:val="00014626"/>
    <w:rsid w:val="000155EF"/>
    <w:rsid w:val="00015C5F"/>
    <w:rsid w:val="00020529"/>
    <w:rsid w:val="00022460"/>
    <w:rsid w:val="000227D7"/>
    <w:rsid w:val="000248C4"/>
    <w:rsid w:val="000258F5"/>
    <w:rsid w:val="0002602D"/>
    <w:rsid w:val="00027C37"/>
    <w:rsid w:val="000314AB"/>
    <w:rsid w:val="000316DF"/>
    <w:rsid w:val="00034EE5"/>
    <w:rsid w:val="000356F0"/>
    <w:rsid w:val="00036CB3"/>
    <w:rsid w:val="00044718"/>
    <w:rsid w:val="000502AC"/>
    <w:rsid w:val="00052D53"/>
    <w:rsid w:val="00055B0C"/>
    <w:rsid w:val="00056077"/>
    <w:rsid w:val="000575D9"/>
    <w:rsid w:val="000619B2"/>
    <w:rsid w:val="00062402"/>
    <w:rsid w:val="00063019"/>
    <w:rsid w:val="00063B34"/>
    <w:rsid w:val="0006408F"/>
    <w:rsid w:val="000679A3"/>
    <w:rsid w:val="00070468"/>
    <w:rsid w:val="00071549"/>
    <w:rsid w:val="00073AB3"/>
    <w:rsid w:val="000762EE"/>
    <w:rsid w:val="00087A44"/>
    <w:rsid w:val="0009333F"/>
    <w:rsid w:val="0009429B"/>
    <w:rsid w:val="00095D94"/>
    <w:rsid w:val="000A1526"/>
    <w:rsid w:val="000B00B9"/>
    <w:rsid w:val="000B1A28"/>
    <w:rsid w:val="000B1DCC"/>
    <w:rsid w:val="000B2070"/>
    <w:rsid w:val="000B3EF6"/>
    <w:rsid w:val="000B76B7"/>
    <w:rsid w:val="000C142E"/>
    <w:rsid w:val="000C4E4A"/>
    <w:rsid w:val="000C53DA"/>
    <w:rsid w:val="000E0202"/>
    <w:rsid w:val="000E27BD"/>
    <w:rsid w:val="000E38C1"/>
    <w:rsid w:val="000E6955"/>
    <w:rsid w:val="000F0C07"/>
    <w:rsid w:val="000F44E4"/>
    <w:rsid w:val="000F5783"/>
    <w:rsid w:val="0010158C"/>
    <w:rsid w:val="00110086"/>
    <w:rsid w:val="001120E7"/>
    <w:rsid w:val="00112F20"/>
    <w:rsid w:val="00113D04"/>
    <w:rsid w:val="001210D1"/>
    <w:rsid w:val="00122E7D"/>
    <w:rsid w:val="00132AD3"/>
    <w:rsid w:val="001335BD"/>
    <w:rsid w:val="001344CB"/>
    <w:rsid w:val="00135A4E"/>
    <w:rsid w:val="00143852"/>
    <w:rsid w:val="00144503"/>
    <w:rsid w:val="00147A4A"/>
    <w:rsid w:val="00147AB1"/>
    <w:rsid w:val="00147BDF"/>
    <w:rsid w:val="001645F0"/>
    <w:rsid w:val="0016528B"/>
    <w:rsid w:val="0017337E"/>
    <w:rsid w:val="0017370C"/>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0DC3"/>
    <w:rsid w:val="001D302D"/>
    <w:rsid w:val="001D73BA"/>
    <w:rsid w:val="001D7E09"/>
    <w:rsid w:val="001E019B"/>
    <w:rsid w:val="001E25A4"/>
    <w:rsid w:val="001E367B"/>
    <w:rsid w:val="001E3E61"/>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3C5F"/>
    <w:rsid w:val="00234B7C"/>
    <w:rsid w:val="00234F1A"/>
    <w:rsid w:val="00241552"/>
    <w:rsid w:val="0024518B"/>
    <w:rsid w:val="0024698F"/>
    <w:rsid w:val="00250F69"/>
    <w:rsid w:val="00251563"/>
    <w:rsid w:val="00254BDC"/>
    <w:rsid w:val="00254CAD"/>
    <w:rsid w:val="002562A2"/>
    <w:rsid w:val="00256718"/>
    <w:rsid w:val="00256A6B"/>
    <w:rsid w:val="00261191"/>
    <w:rsid w:val="00261E56"/>
    <w:rsid w:val="00274D9B"/>
    <w:rsid w:val="002768E9"/>
    <w:rsid w:val="002773CA"/>
    <w:rsid w:val="002811CA"/>
    <w:rsid w:val="00281E2C"/>
    <w:rsid w:val="00291257"/>
    <w:rsid w:val="002964BB"/>
    <w:rsid w:val="002A0CCD"/>
    <w:rsid w:val="002A268A"/>
    <w:rsid w:val="002A368A"/>
    <w:rsid w:val="002A3A63"/>
    <w:rsid w:val="002B17FA"/>
    <w:rsid w:val="002B21B1"/>
    <w:rsid w:val="002B34AC"/>
    <w:rsid w:val="002B69AE"/>
    <w:rsid w:val="002C7EBA"/>
    <w:rsid w:val="002D4762"/>
    <w:rsid w:val="002D5136"/>
    <w:rsid w:val="002D6C05"/>
    <w:rsid w:val="002E02BA"/>
    <w:rsid w:val="002E0626"/>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27D62"/>
    <w:rsid w:val="0033418F"/>
    <w:rsid w:val="00334B72"/>
    <w:rsid w:val="003366D2"/>
    <w:rsid w:val="00340121"/>
    <w:rsid w:val="00341C59"/>
    <w:rsid w:val="0034480A"/>
    <w:rsid w:val="00344B80"/>
    <w:rsid w:val="00351494"/>
    <w:rsid w:val="00353CD1"/>
    <w:rsid w:val="00360AB2"/>
    <w:rsid w:val="003614A4"/>
    <w:rsid w:val="00362B63"/>
    <w:rsid w:val="003652A5"/>
    <w:rsid w:val="003671E8"/>
    <w:rsid w:val="00370C45"/>
    <w:rsid w:val="003770F8"/>
    <w:rsid w:val="00380B80"/>
    <w:rsid w:val="00382104"/>
    <w:rsid w:val="00384990"/>
    <w:rsid w:val="0038538F"/>
    <w:rsid w:val="00386A7F"/>
    <w:rsid w:val="00396F5C"/>
    <w:rsid w:val="003A3611"/>
    <w:rsid w:val="003A70E1"/>
    <w:rsid w:val="003B4557"/>
    <w:rsid w:val="003C02AD"/>
    <w:rsid w:val="003C0562"/>
    <w:rsid w:val="003C09AB"/>
    <w:rsid w:val="003C1E1A"/>
    <w:rsid w:val="003C1E80"/>
    <w:rsid w:val="003C39A7"/>
    <w:rsid w:val="003C53A3"/>
    <w:rsid w:val="003C5FFB"/>
    <w:rsid w:val="003C6AB5"/>
    <w:rsid w:val="003D0819"/>
    <w:rsid w:val="003D4C8C"/>
    <w:rsid w:val="003D5DE3"/>
    <w:rsid w:val="003E1DE7"/>
    <w:rsid w:val="003E6326"/>
    <w:rsid w:val="003E7E53"/>
    <w:rsid w:val="003E7E9C"/>
    <w:rsid w:val="003F11AA"/>
    <w:rsid w:val="003F1417"/>
    <w:rsid w:val="004073EB"/>
    <w:rsid w:val="00414201"/>
    <w:rsid w:val="00414B41"/>
    <w:rsid w:val="00417BC3"/>
    <w:rsid w:val="00417CD8"/>
    <w:rsid w:val="00420430"/>
    <w:rsid w:val="00420544"/>
    <w:rsid w:val="0042124C"/>
    <w:rsid w:val="00441E13"/>
    <w:rsid w:val="00445B48"/>
    <w:rsid w:val="00446493"/>
    <w:rsid w:val="004509DF"/>
    <w:rsid w:val="00451C7B"/>
    <w:rsid w:val="004550E0"/>
    <w:rsid w:val="00455AE7"/>
    <w:rsid w:val="004573C0"/>
    <w:rsid w:val="00465247"/>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C5766"/>
    <w:rsid w:val="004D7E3B"/>
    <w:rsid w:val="004E2C4A"/>
    <w:rsid w:val="004F13E5"/>
    <w:rsid w:val="004F46D8"/>
    <w:rsid w:val="004F5252"/>
    <w:rsid w:val="004F6771"/>
    <w:rsid w:val="00501E89"/>
    <w:rsid w:val="00504267"/>
    <w:rsid w:val="00507AA2"/>
    <w:rsid w:val="005148F8"/>
    <w:rsid w:val="00517FCD"/>
    <w:rsid w:val="00524676"/>
    <w:rsid w:val="0052504D"/>
    <w:rsid w:val="005255A9"/>
    <w:rsid w:val="005268BE"/>
    <w:rsid w:val="00526FB9"/>
    <w:rsid w:val="005313D4"/>
    <w:rsid w:val="005325BE"/>
    <w:rsid w:val="005340F3"/>
    <w:rsid w:val="00535710"/>
    <w:rsid w:val="00536211"/>
    <w:rsid w:val="00540DEF"/>
    <w:rsid w:val="005452E9"/>
    <w:rsid w:val="0055136C"/>
    <w:rsid w:val="00553323"/>
    <w:rsid w:val="005633B6"/>
    <w:rsid w:val="005667CC"/>
    <w:rsid w:val="00573B19"/>
    <w:rsid w:val="0057746E"/>
    <w:rsid w:val="00585B0D"/>
    <w:rsid w:val="005904ED"/>
    <w:rsid w:val="00592905"/>
    <w:rsid w:val="00595A9D"/>
    <w:rsid w:val="005A19D2"/>
    <w:rsid w:val="005A4BB2"/>
    <w:rsid w:val="005B2568"/>
    <w:rsid w:val="005B3FF7"/>
    <w:rsid w:val="005B421C"/>
    <w:rsid w:val="005B697F"/>
    <w:rsid w:val="005C1A79"/>
    <w:rsid w:val="005C23C4"/>
    <w:rsid w:val="005C350B"/>
    <w:rsid w:val="005C5340"/>
    <w:rsid w:val="005C5792"/>
    <w:rsid w:val="005C6169"/>
    <w:rsid w:val="005D0456"/>
    <w:rsid w:val="005D1897"/>
    <w:rsid w:val="005D2388"/>
    <w:rsid w:val="005D238E"/>
    <w:rsid w:val="005D2B10"/>
    <w:rsid w:val="005E09C8"/>
    <w:rsid w:val="005E2CD0"/>
    <w:rsid w:val="005E470E"/>
    <w:rsid w:val="005E5FA7"/>
    <w:rsid w:val="005E6BC3"/>
    <w:rsid w:val="005E6E94"/>
    <w:rsid w:val="005F0BD8"/>
    <w:rsid w:val="005F0F1D"/>
    <w:rsid w:val="005F36E8"/>
    <w:rsid w:val="006015BF"/>
    <w:rsid w:val="00606795"/>
    <w:rsid w:val="00610992"/>
    <w:rsid w:val="00613031"/>
    <w:rsid w:val="00614C8E"/>
    <w:rsid w:val="006163F5"/>
    <w:rsid w:val="00617A6B"/>
    <w:rsid w:val="006208EF"/>
    <w:rsid w:val="00627DC2"/>
    <w:rsid w:val="006303DE"/>
    <w:rsid w:val="00630E00"/>
    <w:rsid w:val="00641E24"/>
    <w:rsid w:val="00642553"/>
    <w:rsid w:val="00644F44"/>
    <w:rsid w:val="00651DB4"/>
    <w:rsid w:val="0066257F"/>
    <w:rsid w:val="0066595C"/>
    <w:rsid w:val="006751FD"/>
    <w:rsid w:val="00676960"/>
    <w:rsid w:val="00680FAA"/>
    <w:rsid w:val="00686E16"/>
    <w:rsid w:val="006873C4"/>
    <w:rsid w:val="00687BB8"/>
    <w:rsid w:val="006905E7"/>
    <w:rsid w:val="00692629"/>
    <w:rsid w:val="00692888"/>
    <w:rsid w:val="006969E7"/>
    <w:rsid w:val="006A6CEA"/>
    <w:rsid w:val="006B02B3"/>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34A16"/>
    <w:rsid w:val="00744976"/>
    <w:rsid w:val="00754A8B"/>
    <w:rsid w:val="00757252"/>
    <w:rsid w:val="00767660"/>
    <w:rsid w:val="0077046B"/>
    <w:rsid w:val="00770489"/>
    <w:rsid w:val="00770DEF"/>
    <w:rsid w:val="00771100"/>
    <w:rsid w:val="00772DC0"/>
    <w:rsid w:val="00773ECB"/>
    <w:rsid w:val="00776651"/>
    <w:rsid w:val="00784A14"/>
    <w:rsid w:val="007948A6"/>
    <w:rsid w:val="00795167"/>
    <w:rsid w:val="00796144"/>
    <w:rsid w:val="007A286A"/>
    <w:rsid w:val="007A3299"/>
    <w:rsid w:val="007A651E"/>
    <w:rsid w:val="007A66C8"/>
    <w:rsid w:val="007B01DD"/>
    <w:rsid w:val="007B197F"/>
    <w:rsid w:val="007B4469"/>
    <w:rsid w:val="007B4490"/>
    <w:rsid w:val="007C083A"/>
    <w:rsid w:val="007C0994"/>
    <w:rsid w:val="007C1810"/>
    <w:rsid w:val="007C19C0"/>
    <w:rsid w:val="007C4AC9"/>
    <w:rsid w:val="007C56B9"/>
    <w:rsid w:val="007C7241"/>
    <w:rsid w:val="007D4789"/>
    <w:rsid w:val="007D69AD"/>
    <w:rsid w:val="007D76BF"/>
    <w:rsid w:val="007D7EF4"/>
    <w:rsid w:val="007E1867"/>
    <w:rsid w:val="007E405D"/>
    <w:rsid w:val="007E5836"/>
    <w:rsid w:val="007E77A2"/>
    <w:rsid w:val="007E78E9"/>
    <w:rsid w:val="007F0F8F"/>
    <w:rsid w:val="007F1195"/>
    <w:rsid w:val="007F662F"/>
    <w:rsid w:val="008009A6"/>
    <w:rsid w:val="0080709C"/>
    <w:rsid w:val="008116E0"/>
    <w:rsid w:val="0082171F"/>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63262"/>
    <w:rsid w:val="008708F8"/>
    <w:rsid w:val="008742CB"/>
    <w:rsid w:val="00881E17"/>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4842"/>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884"/>
    <w:rsid w:val="00915D50"/>
    <w:rsid w:val="009248A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0EF"/>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D5ED8"/>
    <w:rsid w:val="009D72C1"/>
    <w:rsid w:val="009E507A"/>
    <w:rsid w:val="009F045D"/>
    <w:rsid w:val="009F079C"/>
    <w:rsid w:val="009F1909"/>
    <w:rsid w:val="009F20D1"/>
    <w:rsid w:val="009F32D4"/>
    <w:rsid w:val="009F64E2"/>
    <w:rsid w:val="009F65B4"/>
    <w:rsid w:val="00A01DB4"/>
    <w:rsid w:val="00A0213C"/>
    <w:rsid w:val="00A03F26"/>
    <w:rsid w:val="00A101B4"/>
    <w:rsid w:val="00A12A49"/>
    <w:rsid w:val="00A13434"/>
    <w:rsid w:val="00A13A57"/>
    <w:rsid w:val="00A149AF"/>
    <w:rsid w:val="00A1619F"/>
    <w:rsid w:val="00A16213"/>
    <w:rsid w:val="00A16A1E"/>
    <w:rsid w:val="00A26142"/>
    <w:rsid w:val="00A27E8C"/>
    <w:rsid w:val="00A31FB6"/>
    <w:rsid w:val="00A3450A"/>
    <w:rsid w:val="00A377B9"/>
    <w:rsid w:val="00A52057"/>
    <w:rsid w:val="00A532E0"/>
    <w:rsid w:val="00A54C27"/>
    <w:rsid w:val="00A55BBA"/>
    <w:rsid w:val="00A57DAC"/>
    <w:rsid w:val="00A7169D"/>
    <w:rsid w:val="00A74C45"/>
    <w:rsid w:val="00A755C0"/>
    <w:rsid w:val="00A818F8"/>
    <w:rsid w:val="00A831F8"/>
    <w:rsid w:val="00A84880"/>
    <w:rsid w:val="00A87E78"/>
    <w:rsid w:val="00A90AF3"/>
    <w:rsid w:val="00A93F5B"/>
    <w:rsid w:val="00A9656A"/>
    <w:rsid w:val="00A969CA"/>
    <w:rsid w:val="00A9771E"/>
    <w:rsid w:val="00AA036C"/>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AF59D5"/>
    <w:rsid w:val="00B07B9A"/>
    <w:rsid w:val="00B115ED"/>
    <w:rsid w:val="00B157BC"/>
    <w:rsid w:val="00B16BDC"/>
    <w:rsid w:val="00B17780"/>
    <w:rsid w:val="00B230F3"/>
    <w:rsid w:val="00B30537"/>
    <w:rsid w:val="00B36600"/>
    <w:rsid w:val="00B36E23"/>
    <w:rsid w:val="00B44D4C"/>
    <w:rsid w:val="00B46FAD"/>
    <w:rsid w:val="00B50AA0"/>
    <w:rsid w:val="00B57E77"/>
    <w:rsid w:val="00B57E87"/>
    <w:rsid w:val="00B57F0A"/>
    <w:rsid w:val="00B606C2"/>
    <w:rsid w:val="00B63449"/>
    <w:rsid w:val="00B63FE5"/>
    <w:rsid w:val="00B655D5"/>
    <w:rsid w:val="00B67623"/>
    <w:rsid w:val="00B70CF3"/>
    <w:rsid w:val="00B70EE1"/>
    <w:rsid w:val="00B71C36"/>
    <w:rsid w:val="00B7449E"/>
    <w:rsid w:val="00B80C34"/>
    <w:rsid w:val="00B820B3"/>
    <w:rsid w:val="00B82538"/>
    <w:rsid w:val="00B82889"/>
    <w:rsid w:val="00B860CD"/>
    <w:rsid w:val="00B87F72"/>
    <w:rsid w:val="00B94D48"/>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18E0"/>
    <w:rsid w:val="00BF31B7"/>
    <w:rsid w:val="00BF4390"/>
    <w:rsid w:val="00BF46EA"/>
    <w:rsid w:val="00C0703B"/>
    <w:rsid w:val="00C141DD"/>
    <w:rsid w:val="00C15558"/>
    <w:rsid w:val="00C1700A"/>
    <w:rsid w:val="00C258E0"/>
    <w:rsid w:val="00C2728F"/>
    <w:rsid w:val="00C309C5"/>
    <w:rsid w:val="00C3108A"/>
    <w:rsid w:val="00C33201"/>
    <w:rsid w:val="00C360A2"/>
    <w:rsid w:val="00C41212"/>
    <w:rsid w:val="00C43A48"/>
    <w:rsid w:val="00C46958"/>
    <w:rsid w:val="00C54113"/>
    <w:rsid w:val="00C61826"/>
    <w:rsid w:val="00C61ADB"/>
    <w:rsid w:val="00C65A5E"/>
    <w:rsid w:val="00C66A95"/>
    <w:rsid w:val="00C779CA"/>
    <w:rsid w:val="00C848FA"/>
    <w:rsid w:val="00C967F6"/>
    <w:rsid w:val="00CA1643"/>
    <w:rsid w:val="00CA1E49"/>
    <w:rsid w:val="00CA37C6"/>
    <w:rsid w:val="00CA3B86"/>
    <w:rsid w:val="00CA3E5A"/>
    <w:rsid w:val="00CA4003"/>
    <w:rsid w:val="00CA4923"/>
    <w:rsid w:val="00CA5A11"/>
    <w:rsid w:val="00CA5A72"/>
    <w:rsid w:val="00CB5B67"/>
    <w:rsid w:val="00CB6B00"/>
    <w:rsid w:val="00CC3C46"/>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08CE"/>
    <w:rsid w:val="00D13669"/>
    <w:rsid w:val="00D15672"/>
    <w:rsid w:val="00D16CA1"/>
    <w:rsid w:val="00D1797F"/>
    <w:rsid w:val="00D21D54"/>
    <w:rsid w:val="00D2418B"/>
    <w:rsid w:val="00D241EB"/>
    <w:rsid w:val="00D25D8F"/>
    <w:rsid w:val="00D26262"/>
    <w:rsid w:val="00D26F58"/>
    <w:rsid w:val="00D36331"/>
    <w:rsid w:val="00D36FFB"/>
    <w:rsid w:val="00D37895"/>
    <w:rsid w:val="00D41269"/>
    <w:rsid w:val="00D4196C"/>
    <w:rsid w:val="00D44C2C"/>
    <w:rsid w:val="00D46D1E"/>
    <w:rsid w:val="00D56AA6"/>
    <w:rsid w:val="00D57438"/>
    <w:rsid w:val="00D579B8"/>
    <w:rsid w:val="00D57D6B"/>
    <w:rsid w:val="00D62892"/>
    <w:rsid w:val="00D63862"/>
    <w:rsid w:val="00D639D3"/>
    <w:rsid w:val="00D65877"/>
    <w:rsid w:val="00D6787E"/>
    <w:rsid w:val="00D7173F"/>
    <w:rsid w:val="00D71DED"/>
    <w:rsid w:val="00D72B3A"/>
    <w:rsid w:val="00D7439C"/>
    <w:rsid w:val="00D7540D"/>
    <w:rsid w:val="00D7558F"/>
    <w:rsid w:val="00D76520"/>
    <w:rsid w:val="00D77282"/>
    <w:rsid w:val="00D829E0"/>
    <w:rsid w:val="00D83CB4"/>
    <w:rsid w:val="00D8470A"/>
    <w:rsid w:val="00D86C54"/>
    <w:rsid w:val="00D8701A"/>
    <w:rsid w:val="00D87F39"/>
    <w:rsid w:val="00D90C9A"/>
    <w:rsid w:val="00D92509"/>
    <w:rsid w:val="00D94508"/>
    <w:rsid w:val="00D94D08"/>
    <w:rsid w:val="00D97974"/>
    <w:rsid w:val="00DA336E"/>
    <w:rsid w:val="00DA3A2A"/>
    <w:rsid w:val="00DA5684"/>
    <w:rsid w:val="00DA7EB9"/>
    <w:rsid w:val="00DB0E34"/>
    <w:rsid w:val="00DB142A"/>
    <w:rsid w:val="00DB4C5A"/>
    <w:rsid w:val="00DC1C25"/>
    <w:rsid w:val="00DC480D"/>
    <w:rsid w:val="00DD19F7"/>
    <w:rsid w:val="00DD2ACE"/>
    <w:rsid w:val="00DD33E8"/>
    <w:rsid w:val="00DD6916"/>
    <w:rsid w:val="00DD6D45"/>
    <w:rsid w:val="00DD6F3F"/>
    <w:rsid w:val="00DD7E71"/>
    <w:rsid w:val="00DE1B63"/>
    <w:rsid w:val="00DE6C31"/>
    <w:rsid w:val="00DE7A13"/>
    <w:rsid w:val="00DF0A3A"/>
    <w:rsid w:val="00DF193A"/>
    <w:rsid w:val="00DF2AC2"/>
    <w:rsid w:val="00E01A31"/>
    <w:rsid w:val="00E02B50"/>
    <w:rsid w:val="00E04E92"/>
    <w:rsid w:val="00E0587B"/>
    <w:rsid w:val="00E07F19"/>
    <w:rsid w:val="00E10D30"/>
    <w:rsid w:val="00E148FC"/>
    <w:rsid w:val="00E14A31"/>
    <w:rsid w:val="00E1612B"/>
    <w:rsid w:val="00E17B70"/>
    <w:rsid w:val="00E23D7C"/>
    <w:rsid w:val="00E24A5E"/>
    <w:rsid w:val="00E27B98"/>
    <w:rsid w:val="00E36054"/>
    <w:rsid w:val="00E37504"/>
    <w:rsid w:val="00E40DF1"/>
    <w:rsid w:val="00E43DAE"/>
    <w:rsid w:val="00E44288"/>
    <w:rsid w:val="00E456A2"/>
    <w:rsid w:val="00E477A4"/>
    <w:rsid w:val="00E479E5"/>
    <w:rsid w:val="00E5152C"/>
    <w:rsid w:val="00E55344"/>
    <w:rsid w:val="00E5766A"/>
    <w:rsid w:val="00E60471"/>
    <w:rsid w:val="00E6048B"/>
    <w:rsid w:val="00E62FD7"/>
    <w:rsid w:val="00E64E69"/>
    <w:rsid w:val="00E70778"/>
    <w:rsid w:val="00E7254C"/>
    <w:rsid w:val="00E75F64"/>
    <w:rsid w:val="00E7742A"/>
    <w:rsid w:val="00E95D84"/>
    <w:rsid w:val="00E96858"/>
    <w:rsid w:val="00E97D70"/>
    <w:rsid w:val="00EA2C2A"/>
    <w:rsid w:val="00EA6366"/>
    <w:rsid w:val="00EB484A"/>
    <w:rsid w:val="00EB52F3"/>
    <w:rsid w:val="00EB6530"/>
    <w:rsid w:val="00ED0C1A"/>
    <w:rsid w:val="00ED0EF9"/>
    <w:rsid w:val="00ED3A62"/>
    <w:rsid w:val="00ED7A53"/>
    <w:rsid w:val="00EE23F2"/>
    <w:rsid w:val="00EE3686"/>
    <w:rsid w:val="00EE5122"/>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278C6"/>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1C06"/>
    <w:rsid w:val="00F831C8"/>
    <w:rsid w:val="00F84E8C"/>
    <w:rsid w:val="00F91844"/>
    <w:rsid w:val="00F92364"/>
    <w:rsid w:val="00F92FD1"/>
    <w:rsid w:val="00FA1106"/>
    <w:rsid w:val="00FA21D4"/>
    <w:rsid w:val="00FA4033"/>
    <w:rsid w:val="00FA4BFA"/>
    <w:rsid w:val="00FB0872"/>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905">
      <w:bodyDiv w:val="1"/>
      <w:marLeft w:val="0"/>
      <w:marRight w:val="0"/>
      <w:marTop w:val="0"/>
      <w:marBottom w:val="0"/>
      <w:divBdr>
        <w:top w:val="none" w:sz="0" w:space="0" w:color="auto"/>
        <w:left w:val="none" w:sz="0" w:space="0" w:color="auto"/>
        <w:bottom w:val="none" w:sz="0" w:space="0" w:color="auto"/>
        <w:right w:val="none" w:sz="0" w:space="0" w:color="auto"/>
      </w:divBdr>
    </w:div>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080176725">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135685725">
      <w:bodyDiv w:val="1"/>
      <w:marLeft w:val="0"/>
      <w:marRight w:val="0"/>
      <w:marTop w:val="0"/>
      <w:marBottom w:val="0"/>
      <w:divBdr>
        <w:top w:val="none" w:sz="0" w:space="0" w:color="auto"/>
        <w:left w:val="none" w:sz="0" w:space="0" w:color="auto"/>
        <w:bottom w:val="none" w:sz="0" w:space="0" w:color="auto"/>
        <w:right w:val="none" w:sz="0" w:space="0" w:color="auto"/>
      </w:divBdr>
    </w:div>
    <w:div w:id="1257253937">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0823780">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32062919">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philangsci.net/2013/06/12/the-creation-of-parts-of-speech-for-chinese-translingual-practice-across-graeco-roman-and-sinitic-tradition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philangsci.net/2014/10/08/non-universality-of-word-classes-and-words-the-mid-20th-century-shif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C7BB931-BAA3-42FF-B615-7B51C874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26</Pages>
  <Words>9448</Words>
  <Characters>53858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404</cp:revision>
  <dcterms:created xsi:type="dcterms:W3CDTF">2018-01-12T22:29:00Z</dcterms:created>
  <dcterms:modified xsi:type="dcterms:W3CDTF">2018-03-08T16:14:00Z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