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7C613E07"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7777777"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42CADB38"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5A19D2" w:rsidRPr="005A19D2">
        <w:rPr>
          <w:noProof/>
        </w:rPr>
        <w:t>Hopper &amp; Thompson 1984</w:t>
      </w:r>
      <w:r w:rsidR="009D2000">
        <w:t xml:space="preserve">, </w:t>
      </w:r>
      <w:r w:rsidR="005A19D2" w:rsidRPr="005A19D2">
        <w:rPr>
          <w:noProof/>
        </w:rPr>
        <w:t>Thompson 1989</w:t>
      </w:r>
      <w:r w:rsidR="009D2000">
        <w:t xml:space="preserve">, and </w:t>
      </w:r>
      <w:r w:rsidR="005A19D2" w:rsidRPr="005A19D2">
        <w:rPr>
          <w:noProof/>
        </w:rPr>
        <w:t xml:space="preserve">Nakayama </w:t>
      </w:r>
      <w:r w:rsidR="00420544">
        <w:rPr>
          <w:noProof/>
        </w:rPr>
        <w:t>2002</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77777777"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27F78B17"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differences may be lost as well: the loss of most English inflectional morphology </w:t>
      </w:r>
      <w:r w:rsidR="00DB0E34">
        <w:t>may have contributed to an increased degree of lexical flexibility in the language</w:t>
      </w:r>
      <w:r w:rsidR="002F666B">
        <w:t xml:space="preserve"> </w:t>
      </w:r>
      <w:r w:rsidR="00D83CB4">
        <w:t xml:space="preserve">(though see </w:t>
      </w:r>
      <w:r w:rsidR="005D238E">
        <w:t>Kastovsky</w:t>
      </w:r>
      <w:r w:rsidR="004509DF">
        <w:t xml:space="preserve"> 1968, 1996, 2006:</w:t>
      </w:r>
      <w:r w:rsidR="00895645">
        <w:t>153 for an opposing perspective</w:t>
      </w:r>
      <w:r w:rsidR="00D83CB4">
        <w:t>)</w:t>
      </w:r>
      <w:r w:rsidR="002F666B">
        <w:t>. Languages may therefore become more or less categorial over time.</w:t>
      </w:r>
    </w:p>
    <w:p w14:paraId="73FF64A6" w14:textId="6005E7F2" w:rsidR="00BC46BE" w:rsidRDefault="005B697F" w:rsidP="001B5863">
      <w:r>
        <w:t>Working in a similar framework</w:t>
      </w:r>
      <w:r w:rsidR="001B5863">
        <w:t xml:space="preserve">, Nakayama </w:t>
      </w:r>
      <w:r w:rsidR="00860B89" w:rsidRPr="00860B89">
        <w:rPr>
          <w:noProof/>
        </w:rPr>
        <w:t>(2002:3, 54, 57)</w:t>
      </w:r>
      <w:r w:rsidR="00C46958">
        <w:t xml:space="preserve"> </w:t>
      </w:r>
      <w:r w:rsidR="001B5863">
        <w:t xml:space="preserve">argues that </w:t>
      </w:r>
      <w:r w:rsidR="00BC46BE">
        <w:t xml:space="preserve">this model </w:t>
      </w:r>
      <w:r w:rsidR="00DD33E8">
        <w:t xml:space="preserve">also </w:t>
      </w:r>
      <w:r w:rsidR="001B5863">
        <w:t>explains the highly flexible nature of lexemes in Nuuchahnulth (</w:t>
      </w:r>
      <w:r w:rsidR="00D46D1E">
        <w:t xml:space="preserve">a.k.a Nootka; </w:t>
      </w:r>
      <w:r w:rsidR="001B5863">
        <w:t>Wakashan)</w:t>
      </w:r>
      <w:r w:rsidR="004573C0">
        <w:t xml:space="preserve"> as compared to more categorically rigid languages.</w:t>
      </w:r>
      <w:r w:rsidR="00BC46BE">
        <w:t xml:space="preserve"> Lexical categories in Nuuchahnulth are 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w:t>
      </w:r>
      <w:r w:rsidR="002E02BA">
        <w:lastRenderedPageBreak/>
        <w:t>lexical categories by showing the extent to which discourse and information</w:t>
      </w:r>
      <w:r w:rsidR="00B860CD">
        <w:t xml:space="preserve"> status</w:t>
      </w:r>
      <w:r w:rsidR="002E02BA">
        <w:t xml:space="preserve"> considerations contribute to choice of lexical category.</w:t>
      </w:r>
    </w:p>
    <w:p w14:paraId="27C52646" w14:textId="77777777" w:rsidR="00E62FD7" w:rsidRDefault="00E62FD7" w:rsidP="001B5863">
      <w:r>
        <w:t>The specific research questions I ask in this dissertation are as follows:</w:t>
      </w:r>
    </w:p>
    <w:p w14:paraId="515A098B" w14:textId="2179DFEC" w:rsidR="00E62FD7" w:rsidRDefault="00860784" w:rsidP="00E62FD7">
      <w:pPr>
        <w:pStyle w:val="ListParagraph"/>
        <w:numPr>
          <w:ilvl w:val="0"/>
          <w:numId w:val="10"/>
        </w:numPr>
      </w:pPr>
      <w:bookmarkStart w:id="4"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77777777"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r w:rsidR="00C2728F">
        <w:t xml:space="preserve"> </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3062A9D"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w:t>
      </w:r>
      <w:r>
        <w:lastRenderedPageBreak/>
        <w:t xml:space="preserve">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77777777"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essentially became the sole method of syntactic analysis in modern linguistics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77777777"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w:t>
      </w:r>
      <w:r w:rsidRPr="00BE0B4D">
        <w:lastRenderedPageBreak/>
        <w:t xml:space="preserve">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t>
      </w:r>
      <w:r w:rsidR="00F831C8">
        <w:lastRenderedPageBreak/>
        <w:t xml:space="preserve">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77777777"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 xml:space="preserve">Responses </w:t>
      </w:r>
      <w:r w:rsidR="009A7CD6" w:rsidRPr="009A7CD6">
        <w:lastRenderedPageBreak/>
        <w:t>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7BB5D7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5BDB4714" w:rsidR="006015BF" w:rsidRDefault="006015BF" w:rsidP="006015BF">
      <w:r>
        <w:t>In stark contrast to this first</w:t>
      </w:r>
      <w:r w:rsidR="003C1E80">
        <w:t>, “categorialist”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w:t>
      </w:r>
      <w:r w:rsidR="00BC633A">
        <w:lastRenderedPageBreak/>
        <w:t>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77777777"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different functions.</w:t>
      </w:r>
      <w:r>
        <w:t xml:space="preserve"> </w:t>
      </w:r>
      <w:r w:rsidRPr="00985A7C">
        <w:t>Mithun also has in various studies</w:t>
      </w:r>
      <w:r>
        <w:t xml:space="preserve"> </w:t>
      </w:r>
      <w:r w:rsidR="004A6C18" w:rsidRPr="004A6C18">
        <w:rPr>
          <w:noProof/>
        </w:rPr>
        <w:t>(Mithun 1999; Mithun 2000; Mithun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77777777"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w:t>
      </w:r>
      <w:r w:rsidR="006B3A5C" w:rsidRPr="006B3A5C">
        <w:lastRenderedPageBreak/>
        <w:t>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77777777"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r>
        <w:t>Functional Motivations for Lexical Flexibility</w:t>
      </w:r>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66EA328A" w:rsidR="003671E8" w:rsidRDefault="00EA6366" w:rsidP="003671E8">
      <w:r w:rsidRPr="00EA6366">
        <w:t>It has often been suggested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lastRenderedPageBreak/>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 xml:space="preserve">In this dissertation I intend to apply a discourse-oriented approach like those summarized above to a small but diverse sample of languages, with the expectation of providing empirical </w:t>
      </w:r>
      <w:r w:rsidRPr="007114C8">
        <w:lastRenderedPageBreak/>
        <w:t>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6" w:name="_Ref503355089"/>
      <w:r>
        <w:t>Data &amp; Methods</w:t>
      </w:r>
      <w:bookmarkEnd w:id="6"/>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are added justifying the inclusion of each language in the sample.</w:t>
      </w:r>
      <w:r>
        <w:t xml:space="preserve"> More </w:t>
      </w:r>
      <w:r w:rsidR="002018AB">
        <w:t xml:space="preserve">languages </w:t>
      </w:r>
      <w:r>
        <w:t>may be added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Chitimacha </w:t>
      </w:r>
      <w:r w:rsidR="003F1417">
        <w:t xml:space="preserve">property concepts exhibit interesting behavior wherein they behave </w:t>
      </w:r>
      <w:r w:rsidR="005148F8">
        <w:t xml:space="preserve">morphologically as verbs but functionally </w:t>
      </w:r>
      <w:r w:rsidR="008A0774">
        <w:t>they almost always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conversion, </w:t>
      </w:r>
      <w:r w:rsidR="006D0632">
        <w:t>or used as an exemplar of how to clearly distinguish categories in a language.</w:t>
      </w:r>
      <w:r w:rsidR="006873C4">
        <w:t xml:space="preserve"> Its overall degree of flexibility is therefore somewhat uncertain.</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lastRenderedPageBreak/>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fully-glossed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generally considered a fairly rigid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7" w:name="_Ref503350959"/>
      <w:r w:rsidRPr="00224873">
        <w:lastRenderedPageBreak/>
        <w:t xml:space="preserve">Table </w:t>
      </w:r>
      <w:r w:rsidR="00AD6711">
        <w:fldChar w:fldCharType="begin"/>
      </w:r>
      <w:r w:rsidR="00AD6711">
        <w:instrText xml:space="preserve"> SEQ Table \* ARABIC </w:instrText>
      </w:r>
      <w:r w:rsidR="00AD6711">
        <w:fldChar w:fldCharType="separate"/>
      </w:r>
      <w:r w:rsidRPr="00224873">
        <w:rPr>
          <w:noProof/>
        </w:rPr>
        <w:t>1</w:t>
      </w:r>
      <w:r w:rsidR="00AD6711">
        <w:rPr>
          <w:noProof/>
        </w:rPr>
        <w:fldChar w:fldCharType="end"/>
      </w:r>
      <w:bookmarkEnd w:id="7"/>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9EFE901" w14:textId="7E76EC94"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depend on its token frequency? 2) Does the degree of lexical flexibility exhibited in a corpus depend on the overall size of the corpus?</w:t>
      </w:r>
      <w:r w:rsidR="00384990">
        <w:t xml:space="preserve"> </w:t>
      </w:r>
      <w:r w:rsidR="00095D94">
        <w:t>If so, it will be important to control for these factors when operationalizing the degree of lexical flexibility for a lexeme.</w:t>
      </w:r>
      <w:r w:rsidR="00DD6D45">
        <w:t xml:space="preserve"> </w:t>
      </w:r>
      <w:r w:rsidR="00F92364">
        <w:t xml:space="preserve">There are two opposing perspectives </w:t>
      </w:r>
      <w:r w:rsidR="0082415E">
        <w:t>on corpus size as it relates to flexibility:</w:t>
      </w:r>
      <w:r w:rsidR="00C309C5">
        <w:t xml:space="preserve"> On the one hand, a larger corpus affords </w:t>
      </w:r>
      <w:r w:rsidR="0016528B">
        <w:t xml:space="preserve">more chances </w:t>
      </w:r>
      <w:r w:rsidR="00D62892">
        <w:t xml:space="preserve">for </w:t>
      </w:r>
      <w:r w:rsidR="0016528B">
        <w:t xml:space="preserve">an erstwhile rigid lexeme </w:t>
      </w:r>
      <w:r w:rsidR="00D62892">
        <w:t xml:space="preserve">to </w:t>
      </w:r>
      <w:r w:rsidR="0016528B">
        <w:t>be used flexibly</w:t>
      </w:r>
      <w:r w:rsidR="0057746E">
        <w:t>. Some have suggested that practically any lexeme may show flexibility given the proper context</w:t>
      </w:r>
      <w:r w:rsidR="008223AE">
        <w:t xml:space="preserve"> </w:t>
      </w:r>
      <w:r w:rsidR="009669EE">
        <w:t xml:space="preserve">(e.g. </w:t>
      </w:r>
      <w:r w:rsidR="00AD6711">
        <w:t>Peterson 2005</w:t>
      </w:r>
      <w:r w:rsidR="009669EE">
        <w:t>)</w:t>
      </w:r>
      <w:r w:rsidR="0057746E">
        <w:t>.</w:t>
      </w:r>
      <w:r w:rsidR="00FA21D4">
        <w:t xml:space="preserve"> </w:t>
      </w:r>
      <w:r w:rsidR="009F1909">
        <w:t>O</w:t>
      </w:r>
      <w:r w:rsidR="00FA21D4">
        <w:t xml:space="preserve">n the other hand, a larger corpus </w:t>
      </w:r>
      <w:r w:rsidR="008B0FBE">
        <w:t xml:space="preserve">may make plain </w:t>
      </w:r>
      <w:r w:rsidR="0017337E">
        <w:t>just how unusual</w:t>
      </w:r>
      <w:r w:rsidR="009F1909">
        <w:t xml:space="preserve"> and infrequent such flexible cases are</w:t>
      </w:r>
      <w:r w:rsidR="00D62892">
        <w:t>.</w:t>
      </w:r>
      <w:r w:rsidR="009F1909">
        <w:t xml:space="preserve"> </w:t>
      </w:r>
      <w:r w:rsidR="007D69AD">
        <w:t>And of course it is possible that these two factors cancel each other out.</w:t>
      </w:r>
      <w:r w:rsidR="00234F1A">
        <w:t xml:space="preserve"> Quantitative empirical data is required to know either way. 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8" w:name="_Ref503178933"/>
      <w:r>
        <w:t>Outline</w:t>
      </w:r>
      <w:bookmarkEnd w:id="8"/>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w:t>
      </w:r>
      <w:r w:rsidR="0019060E">
        <w:lastRenderedPageBreak/>
        <w:t>(Chapter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77777777"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3EE2F6B7" w:rsidR="00F170EA" w:rsidRDefault="006E2B40" w:rsidP="001E4C32">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w:t>
      </w:r>
      <w:r>
        <w:lastRenderedPageBreak/>
        <w:t xml:space="preserve">terms, the crucial determining semantic factor is not body parts per se, but rather </w:t>
      </w:r>
      <w:r w:rsidR="00D6787E">
        <w:t xml:space="preserve">the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9" w:name="_Ref503526122"/>
      <w:r>
        <w:t xml:space="preserve">Figure </w:t>
      </w:r>
      <w:r w:rsidR="00AD6711">
        <w:fldChar w:fldCharType="begin"/>
      </w:r>
      <w:r w:rsidR="00AD6711">
        <w:instrText xml:space="preserve"> SEQ Figure \* ARABIC </w:instrText>
      </w:r>
      <w:r w:rsidR="00AD6711">
        <w:fldChar w:fldCharType="separate"/>
      </w:r>
      <w:r>
        <w:rPr>
          <w:noProof/>
        </w:rPr>
        <w:t>1</w:t>
      </w:r>
      <w:r w:rsidR="00AD6711">
        <w:rPr>
          <w:noProof/>
        </w:rPr>
        <w:fldChar w:fldCharType="end"/>
      </w:r>
      <w:bookmarkEnd w:id="9"/>
      <w:r>
        <w:t>. The topicality hierarchy</w:t>
      </w:r>
    </w:p>
    <w:p w14:paraId="5FE94350" w14:textId="307768DD"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r w:rsidR="004F5252">
        <w:t xml:space="preserve"> If this hypothesis is correct, Australian languages wherein kin terms </w:t>
      </w:r>
      <w:r w:rsidR="00CB5B67">
        <w:t>function as predicates would be the exceptional case.</w:t>
      </w:r>
    </w:p>
    <w:p w14:paraId="12C84415" w14:textId="15352262" w:rsidR="00F170EA" w:rsidRPr="00D829E0" w:rsidRDefault="00F170EA" w:rsidP="00F170EA">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w:t>
      </w:r>
      <w:r w:rsidR="00055B0C">
        <w:t xml:space="preserve"> When languages are described as lacking an adjective cate</w:t>
      </w:r>
      <w:r w:rsidR="00771100">
        <w:t xml:space="preserve">gory, this generally means that core property concepts </w:t>
      </w:r>
      <w:r w:rsidR="002C7EBA">
        <w:t xml:space="preserve">belong to constructions strongly associated with either reference or predication. Thus </w:t>
      </w:r>
      <w:r w:rsidR="00984ECF">
        <w:t xml:space="preserve">I hypothesize that core property will exhibit a </w:t>
      </w:r>
      <w:r w:rsidR="00055B0C">
        <w:t xml:space="preserve">lesser degree </w:t>
      </w:r>
      <w:r w:rsidR="00984ECF">
        <w:t>of lexical flexibility than more peripheral ones.</w:t>
      </w:r>
    </w:p>
    <w:p w14:paraId="27E8A250" w14:textId="77777777" w:rsidR="000E38C1" w:rsidRDefault="000E38C1" w:rsidP="000E38C1">
      <w:pPr>
        <w:pStyle w:val="Heading2"/>
      </w:pPr>
      <w:r>
        <w:lastRenderedPageBreak/>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77777777"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565E194E" w:rsidR="007B4469" w:rsidRP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lastRenderedPageBreak/>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bookmarkStart w:id="10" w:name="_GoBack"/>
      <w:bookmarkEnd w:id="10"/>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544A5308"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10EC10B6" w14:textId="7018428D" w:rsidR="00FD59DC" w:rsidRPr="003C09AB" w:rsidRDefault="000B1A28" w:rsidP="003E7E9C">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FD59DC" w:rsidRPr="003C09AB"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455AE7" w:rsidRDefault="00455AE7" w:rsidP="00CA5A11">
      <w:r>
        <w:separator/>
      </w:r>
    </w:p>
  </w:endnote>
  <w:endnote w:type="continuationSeparator" w:id="0">
    <w:p w14:paraId="05E1657E" w14:textId="77777777" w:rsidR="00455AE7" w:rsidRDefault="00455AE7"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69FE34A1" w:rsidR="00455AE7" w:rsidRDefault="00455AE7" w:rsidP="007268BD">
    <w:pPr>
      <w:pStyle w:val="Footer"/>
      <w:jc w:val="center"/>
    </w:pPr>
    <w:r>
      <w:rPr>
        <w:noProof w:val="0"/>
      </w:rPr>
      <w:fldChar w:fldCharType="begin"/>
    </w:r>
    <w:r>
      <w:instrText xml:space="preserve"> PAGE   \* MERGEFORMAT </w:instrText>
    </w:r>
    <w:r>
      <w:rPr>
        <w:noProof w:val="0"/>
      </w:rPr>
      <w:fldChar w:fldCharType="separate"/>
    </w:r>
    <w:r w:rsidR="00AD6711">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514C9243" w:rsidR="00455AE7" w:rsidRDefault="00455AE7" w:rsidP="00FD59DC">
    <w:pPr>
      <w:pStyle w:val="Footer"/>
      <w:jc w:val="center"/>
    </w:pPr>
    <w:r>
      <w:rPr>
        <w:noProof w:val="0"/>
      </w:rPr>
      <w:fldChar w:fldCharType="begin"/>
    </w:r>
    <w:r>
      <w:instrText xml:space="preserve"> PAGE   \* MERGEFORMAT </w:instrText>
    </w:r>
    <w:r>
      <w:rPr>
        <w:noProof w:val="0"/>
      </w:rPr>
      <w:fldChar w:fldCharType="separate"/>
    </w:r>
    <w:r w:rsidR="008E2B9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455AE7" w:rsidRDefault="00455AE7" w:rsidP="00CA5A11">
      <w:r>
        <w:separator/>
      </w:r>
    </w:p>
  </w:footnote>
  <w:footnote w:type="continuationSeparator" w:id="0">
    <w:p w14:paraId="0C689F5C" w14:textId="77777777" w:rsidR="00455AE7" w:rsidRDefault="00455AE7" w:rsidP="00CA5A11">
      <w:r>
        <w:continuationSeparator/>
      </w:r>
    </w:p>
  </w:footnote>
  <w:footnote w:id="1">
    <w:p w14:paraId="3DDF32BD" w14:textId="68E0CC80" w:rsidR="00455AE7" w:rsidRDefault="00455AE7"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xml:space="preserve">, but </w:t>
      </w:r>
      <w:r w:rsidR="00D26262">
        <w:t>this phenomenon</w:t>
      </w:r>
      <w:r>
        <w:t xml:space="preserve"> will not be discussed here.</w:t>
      </w:r>
    </w:p>
    <w:p w14:paraId="36AA4BDC" w14:textId="77777777" w:rsidR="00455AE7" w:rsidRDefault="00455AE7">
      <w:pPr>
        <w:pStyle w:val="FootnoteText"/>
      </w:pPr>
      <w:r>
        <w:t xml:space="preserve"> </w:t>
      </w:r>
    </w:p>
  </w:footnote>
  <w:footnote w:id="2">
    <w:p w14:paraId="3E2D1089" w14:textId="77777777" w:rsidR="00455AE7" w:rsidRDefault="00455AE7">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455AE7" w:rsidRDefault="00455AE7">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455AE7" w:rsidRDefault="00455AE7">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2724"/>
    <w:rsid w:val="00012C2F"/>
    <w:rsid w:val="000138C5"/>
    <w:rsid w:val="00014626"/>
    <w:rsid w:val="000155EF"/>
    <w:rsid w:val="00015C5F"/>
    <w:rsid w:val="00020529"/>
    <w:rsid w:val="000227D7"/>
    <w:rsid w:val="000248C4"/>
    <w:rsid w:val="000258F5"/>
    <w:rsid w:val="0002602D"/>
    <w:rsid w:val="000314AB"/>
    <w:rsid w:val="000316DF"/>
    <w:rsid w:val="00034EE5"/>
    <w:rsid w:val="00036CB3"/>
    <w:rsid w:val="00044718"/>
    <w:rsid w:val="00052D53"/>
    <w:rsid w:val="00055B0C"/>
    <w:rsid w:val="000575D9"/>
    <w:rsid w:val="000619B2"/>
    <w:rsid w:val="00063019"/>
    <w:rsid w:val="0006408F"/>
    <w:rsid w:val="00070468"/>
    <w:rsid w:val="00071549"/>
    <w:rsid w:val="00073AB3"/>
    <w:rsid w:val="000762EE"/>
    <w:rsid w:val="00087A44"/>
    <w:rsid w:val="0009333F"/>
    <w:rsid w:val="0009429B"/>
    <w:rsid w:val="00095D94"/>
    <w:rsid w:val="000A1526"/>
    <w:rsid w:val="000B1A28"/>
    <w:rsid w:val="000B76B7"/>
    <w:rsid w:val="000C142E"/>
    <w:rsid w:val="000E0202"/>
    <w:rsid w:val="000E38C1"/>
    <w:rsid w:val="000F0C07"/>
    <w:rsid w:val="000F44E4"/>
    <w:rsid w:val="0010158C"/>
    <w:rsid w:val="00113D04"/>
    <w:rsid w:val="001210D1"/>
    <w:rsid w:val="00122E7D"/>
    <w:rsid w:val="00132AD3"/>
    <w:rsid w:val="001335BD"/>
    <w:rsid w:val="001344CB"/>
    <w:rsid w:val="00135A4E"/>
    <w:rsid w:val="00143852"/>
    <w:rsid w:val="00144503"/>
    <w:rsid w:val="00147A4A"/>
    <w:rsid w:val="00147AB1"/>
    <w:rsid w:val="0016528B"/>
    <w:rsid w:val="0017337E"/>
    <w:rsid w:val="0017686E"/>
    <w:rsid w:val="0019060E"/>
    <w:rsid w:val="00190EA1"/>
    <w:rsid w:val="00191A3D"/>
    <w:rsid w:val="0019390B"/>
    <w:rsid w:val="00193C0D"/>
    <w:rsid w:val="001A121D"/>
    <w:rsid w:val="001A2233"/>
    <w:rsid w:val="001A511C"/>
    <w:rsid w:val="001B5863"/>
    <w:rsid w:val="001D002E"/>
    <w:rsid w:val="001D0716"/>
    <w:rsid w:val="001D302D"/>
    <w:rsid w:val="001D73BA"/>
    <w:rsid w:val="001D7E09"/>
    <w:rsid w:val="001E25A4"/>
    <w:rsid w:val="001E4A7C"/>
    <w:rsid w:val="001E4C32"/>
    <w:rsid w:val="001E525B"/>
    <w:rsid w:val="001F590F"/>
    <w:rsid w:val="001F736D"/>
    <w:rsid w:val="002002C5"/>
    <w:rsid w:val="002004BE"/>
    <w:rsid w:val="002008D9"/>
    <w:rsid w:val="002018AB"/>
    <w:rsid w:val="0020387A"/>
    <w:rsid w:val="0021074C"/>
    <w:rsid w:val="00211761"/>
    <w:rsid w:val="00211B9B"/>
    <w:rsid w:val="00214730"/>
    <w:rsid w:val="00224873"/>
    <w:rsid w:val="002327DE"/>
    <w:rsid w:val="00234F1A"/>
    <w:rsid w:val="00241552"/>
    <w:rsid w:val="0024518B"/>
    <w:rsid w:val="00250F69"/>
    <w:rsid w:val="00256A6B"/>
    <w:rsid w:val="00261E56"/>
    <w:rsid w:val="00274D9B"/>
    <w:rsid w:val="002811CA"/>
    <w:rsid w:val="00291257"/>
    <w:rsid w:val="002964BB"/>
    <w:rsid w:val="002A0CCD"/>
    <w:rsid w:val="002A268A"/>
    <w:rsid w:val="002A368A"/>
    <w:rsid w:val="002B21B1"/>
    <w:rsid w:val="002B69AE"/>
    <w:rsid w:val="002C7EBA"/>
    <w:rsid w:val="002D4762"/>
    <w:rsid w:val="002D5136"/>
    <w:rsid w:val="002D6C05"/>
    <w:rsid w:val="002E02BA"/>
    <w:rsid w:val="002E257E"/>
    <w:rsid w:val="002E602A"/>
    <w:rsid w:val="002F5899"/>
    <w:rsid w:val="002F666B"/>
    <w:rsid w:val="003020EE"/>
    <w:rsid w:val="00305745"/>
    <w:rsid w:val="00305A78"/>
    <w:rsid w:val="00307485"/>
    <w:rsid w:val="003129D5"/>
    <w:rsid w:val="0031361F"/>
    <w:rsid w:val="00313B0C"/>
    <w:rsid w:val="00323BEF"/>
    <w:rsid w:val="00327B49"/>
    <w:rsid w:val="0033418F"/>
    <w:rsid w:val="003366D2"/>
    <w:rsid w:val="00340121"/>
    <w:rsid w:val="00341C59"/>
    <w:rsid w:val="0034480A"/>
    <w:rsid w:val="00351494"/>
    <w:rsid w:val="00353CD1"/>
    <w:rsid w:val="00360AB2"/>
    <w:rsid w:val="003614A4"/>
    <w:rsid w:val="003652A5"/>
    <w:rsid w:val="003671E8"/>
    <w:rsid w:val="00370C45"/>
    <w:rsid w:val="003770F8"/>
    <w:rsid w:val="00382104"/>
    <w:rsid w:val="00384990"/>
    <w:rsid w:val="0038538F"/>
    <w:rsid w:val="00386A7F"/>
    <w:rsid w:val="00396F5C"/>
    <w:rsid w:val="003A3611"/>
    <w:rsid w:val="003A70E1"/>
    <w:rsid w:val="003B4557"/>
    <w:rsid w:val="003C0562"/>
    <w:rsid w:val="003C09AB"/>
    <w:rsid w:val="003C1E80"/>
    <w:rsid w:val="003C39A7"/>
    <w:rsid w:val="003C5FFB"/>
    <w:rsid w:val="003D4C8C"/>
    <w:rsid w:val="003D5DE3"/>
    <w:rsid w:val="003E7E53"/>
    <w:rsid w:val="003E7E9C"/>
    <w:rsid w:val="003F11AA"/>
    <w:rsid w:val="003F1417"/>
    <w:rsid w:val="004073EB"/>
    <w:rsid w:val="00414201"/>
    <w:rsid w:val="00417BC3"/>
    <w:rsid w:val="00417CD8"/>
    <w:rsid w:val="00420430"/>
    <w:rsid w:val="00420544"/>
    <w:rsid w:val="00441E13"/>
    <w:rsid w:val="004509DF"/>
    <w:rsid w:val="00451C7B"/>
    <w:rsid w:val="004550E0"/>
    <w:rsid w:val="00455AE7"/>
    <w:rsid w:val="004573C0"/>
    <w:rsid w:val="00473CAA"/>
    <w:rsid w:val="004820EC"/>
    <w:rsid w:val="00482675"/>
    <w:rsid w:val="004841B6"/>
    <w:rsid w:val="00485753"/>
    <w:rsid w:val="00490AA9"/>
    <w:rsid w:val="00490E45"/>
    <w:rsid w:val="004929A8"/>
    <w:rsid w:val="00492EA1"/>
    <w:rsid w:val="004936F5"/>
    <w:rsid w:val="00497D78"/>
    <w:rsid w:val="004A665A"/>
    <w:rsid w:val="004A6C18"/>
    <w:rsid w:val="004D7E3B"/>
    <w:rsid w:val="004E2C4A"/>
    <w:rsid w:val="004F13E5"/>
    <w:rsid w:val="004F5252"/>
    <w:rsid w:val="004F6771"/>
    <w:rsid w:val="00504267"/>
    <w:rsid w:val="005148F8"/>
    <w:rsid w:val="00517FCD"/>
    <w:rsid w:val="00524676"/>
    <w:rsid w:val="005255A9"/>
    <w:rsid w:val="005268BE"/>
    <w:rsid w:val="005313D4"/>
    <w:rsid w:val="005340F3"/>
    <w:rsid w:val="00535710"/>
    <w:rsid w:val="00536211"/>
    <w:rsid w:val="00540DEF"/>
    <w:rsid w:val="00553323"/>
    <w:rsid w:val="005667CC"/>
    <w:rsid w:val="00573B19"/>
    <w:rsid w:val="0057746E"/>
    <w:rsid w:val="005904ED"/>
    <w:rsid w:val="005A19D2"/>
    <w:rsid w:val="005A4BB2"/>
    <w:rsid w:val="005B421C"/>
    <w:rsid w:val="005B697F"/>
    <w:rsid w:val="005C23C4"/>
    <w:rsid w:val="005C5340"/>
    <w:rsid w:val="005C6169"/>
    <w:rsid w:val="005D238E"/>
    <w:rsid w:val="005D2B10"/>
    <w:rsid w:val="005E09C8"/>
    <w:rsid w:val="005E470E"/>
    <w:rsid w:val="005E5FA7"/>
    <w:rsid w:val="005F0BD8"/>
    <w:rsid w:val="005F36E8"/>
    <w:rsid w:val="006015BF"/>
    <w:rsid w:val="00606795"/>
    <w:rsid w:val="00610992"/>
    <w:rsid w:val="00614C8E"/>
    <w:rsid w:val="006163F5"/>
    <w:rsid w:val="006303DE"/>
    <w:rsid w:val="00630E00"/>
    <w:rsid w:val="00642553"/>
    <w:rsid w:val="00644F44"/>
    <w:rsid w:val="00651DB4"/>
    <w:rsid w:val="0066257F"/>
    <w:rsid w:val="006751FD"/>
    <w:rsid w:val="00686E16"/>
    <w:rsid w:val="006873C4"/>
    <w:rsid w:val="006905E7"/>
    <w:rsid w:val="006969E7"/>
    <w:rsid w:val="006A6CEA"/>
    <w:rsid w:val="006B3A5C"/>
    <w:rsid w:val="006C1372"/>
    <w:rsid w:val="006C243E"/>
    <w:rsid w:val="006D00EB"/>
    <w:rsid w:val="006D0632"/>
    <w:rsid w:val="006D1712"/>
    <w:rsid w:val="006D192C"/>
    <w:rsid w:val="006E2B40"/>
    <w:rsid w:val="006E70AF"/>
    <w:rsid w:val="006E761D"/>
    <w:rsid w:val="006F582A"/>
    <w:rsid w:val="006F5BD1"/>
    <w:rsid w:val="006F6DDE"/>
    <w:rsid w:val="007026B1"/>
    <w:rsid w:val="00703236"/>
    <w:rsid w:val="00706E46"/>
    <w:rsid w:val="00707838"/>
    <w:rsid w:val="00710713"/>
    <w:rsid w:val="007114C8"/>
    <w:rsid w:val="00714C8F"/>
    <w:rsid w:val="00715EF7"/>
    <w:rsid w:val="007173AB"/>
    <w:rsid w:val="007268BD"/>
    <w:rsid w:val="00727663"/>
    <w:rsid w:val="00744976"/>
    <w:rsid w:val="00757252"/>
    <w:rsid w:val="00770489"/>
    <w:rsid w:val="00770DEF"/>
    <w:rsid w:val="00771100"/>
    <w:rsid w:val="00772DC0"/>
    <w:rsid w:val="00773ECB"/>
    <w:rsid w:val="00776651"/>
    <w:rsid w:val="007948A6"/>
    <w:rsid w:val="00795167"/>
    <w:rsid w:val="00796144"/>
    <w:rsid w:val="007A286A"/>
    <w:rsid w:val="007A3299"/>
    <w:rsid w:val="007A66C8"/>
    <w:rsid w:val="007B01DD"/>
    <w:rsid w:val="007B4469"/>
    <w:rsid w:val="007C0994"/>
    <w:rsid w:val="007C1810"/>
    <w:rsid w:val="007C19C0"/>
    <w:rsid w:val="007C4AC9"/>
    <w:rsid w:val="007C56B9"/>
    <w:rsid w:val="007C7241"/>
    <w:rsid w:val="007D4789"/>
    <w:rsid w:val="007D69AD"/>
    <w:rsid w:val="007D76BF"/>
    <w:rsid w:val="007E405D"/>
    <w:rsid w:val="007E5836"/>
    <w:rsid w:val="007E77A2"/>
    <w:rsid w:val="007E78E9"/>
    <w:rsid w:val="007F0F8F"/>
    <w:rsid w:val="007F1195"/>
    <w:rsid w:val="007F662F"/>
    <w:rsid w:val="008009A6"/>
    <w:rsid w:val="0080709C"/>
    <w:rsid w:val="008223AE"/>
    <w:rsid w:val="0082415E"/>
    <w:rsid w:val="008263A7"/>
    <w:rsid w:val="00833849"/>
    <w:rsid w:val="00834040"/>
    <w:rsid w:val="00836431"/>
    <w:rsid w:val="00837EF4"/>
    <w:rsid w:val="0084061C"/>
    <w:rsid w:val="0084363F"/>
    <w:rsid w:val="00845A61"/>
    <w:rsid w:val="00846C58"/>
    <w:rsid w:val="00850686"/>
    <w:rsid w:val="00860784"/>
    <w:rsid w:val="00860B89"/>
    <w:rsid w:val="008708F8"/>
    <w:rsid w:val="00884D75"/>
    <w:rsid w:val="00885AAC"/>
    <w:rsid w:val="00887021"/>
    <w:rsid w:val="00887B91"/>
    <w:rsid w:val="00894571"/>
    <w:rsid w:val="00895263"/>
    <w:rsid w:val="00895645"/>
    <w:rsid w:val="008A0774"/>
    <w:rsid w:val="008A09D2"/>
    <w:rsid w:val="008A145C"/>
    <w:rsid w:val="008A4D7C"/>
    <w:rsid w:val="008B0FBE"/>
    <w:rsid w:val="008B45B4"/>
    <w:rsid w:val="008B7573"/>
    <w:rsid w:val="008C5D11"/>
    <w:rsid w:val="008D3BA1"/>
    <w:rsid w:val="008D4ABB"/>
    <w:rsid w:val="008D6ECA"/>
    <w:rsid w:val="008E0C8A"/>
    <w:rsid w:val="008E2B95"/>
    <w:rsid w:val="008E2C1E"/>
    <w:rsid w:val="008E44DE"/>
    <w:rsid w:val="008E7768"/>
    <w:rsid w:val="008F1AC8"/>
    <w:rsid w:val="008F2838"/>
    <w:rsid w:val="00907BE5"/>
    <w:rsid w:val="009141BE"/>
    <w:rsid w:val="00915D50"/>
    <w:rsid w:val="00930E64"/>
    <w:rsid w:val="00936399"/>
    <w:rsid w:val="009400AE"/>
    <w:rsid w:val="009417C1"/>
    <w:rsid w:val="00945758"/>
    <w:rsid w:val="0095753C"/>
    <w:rsid w:val="00957FA7"/>
    <w:rsid w:val="009669EE"/>
    <w:rsid w:val="00977F74"/>
    <w:rsid w:val="0098108E"/>
    <w:rsid w:val="00984ECF"/>
    <w:rsid w:val="00985A7C"/>
    <w:rsid w:val="00993CEF"/>
    <w:rsid w:val="0099612C"/>
    <w:rsid w:val="009A355A"/>
    <w:rsid w:val="009A3ECF"/>
    <w:rsid w:val="009A75CD"/>
    <w:rsid w:val="009A75D3"/>
    <w:rsid w:val="009A7CD6"/>
    <w:rsid w:val="009B264B"/>
    <w:rsid w:val="009B2737"/>
    <w:rsid w:val="009B5B1C"/>
    <w:rsid w:val="009B6AF6"/>
    <w:rsid w:val="009B72DF"/>
    <w:rsid w:val="009C5A3B"/>
    <w:rsid w:val="009C7CB1"/>
    <w:rsid w:val="009D0C2B"/>
    <w:rsid w:val="009D2000"/>
    <w:rsid w:val="009D583B"/>
    <w:rsid w:val="009F079C"/>
    <w:rsid w:val="009F1909"/>
    <w:rsid w:val="009F20D1"/>
    <w:rsid w:val="009F32D4"/>
    <w:rsid w:val="009F64E2"/>
    <w:rsid w:val="009F65B4"/>
    <w:rsid w:val="00A101B4"/>
    <w:rsid w:val="00A13434"/>
    <w:rsid w:val="00A13A57"/>
    <w:rsid w:val="00A149AF"/>
    <w:rsid w:val="00A1619F"/>
    <w:rsid w:val="00A16213"/>
    <w:rsid w:val="00A27E8C"/>
    <w:rsid w:val="00A31FB6"/>
    <w:rsid w:val="00A377B9"/>
    <w:rsid w:val="00A532E0"/>
    <w:rsid w:val="00A54C27"/>
    <w:rsid w:val="00A7169D"/>
    <w:rsid w:val="00A818F8"/>
    <w:rsid w:val="00A831F8"/>
    <w:rsid w:val="00A84880"/>
    <w:rsid w:val="00A87E78"/>
    <w:rsid w:val="00A90AF3"/>
    <w:rsid w:val="00A93F5B"/>
    <w:rsid w:val="00A9656A"/>
    <w:rsid w:val="00A969CA"/>
    <w:rsid w:val="00A9771E"/>
    <w:rsid w:val="00AA0D50"/>
    <w:rsid w:val="00AA174E"/>
    <w:rsid w:val="00AA4DE0"/>
    <w:rsid w:val="00AA5534"/>
    <w:rsid w:val="00AB6A57"/>
    <w:rsid w:val="00AD363B"/>
    <w:rsid w:val="00AD381A"/>
    <w:rsid w:val="00AD5F4F"/>
    <w:rsid w:val="00AD6711"/>
    <w:rsid w:val="00AE0C82"/>
    <w:rsid w:val="00AE5A9D"/>
    <w:rsid w:val="00AF081C"/>
    <w:rsid w:val="00AF0D0E"/>
    <w:rsid w:val="00AF201D"/>
    <w:rsid w:val="00AF45E2"/>
    <w:rsid w:val="00B07B9A"/>
    <w:rsid w:val="00B157BC"/>
    <w:rsid w:val="00B17780"/>
    <w:rsid w:val="00B230F3"/>
    <w:rsid w:val="00B30537"/>
    <w:rsid w:val="00B36600"/>
    <w:rsid w:val="00B36E23"/>
    <w:rsid w:val="00B44D4C"/>
    <w:rsid w:val="00B46FAD"/>
    <w:rsid w:val="00B50AA0"/>
    <w:rsid w:val="00B57E77"/>
    <w:rsid w:val="00B57F0A"/>
    <w:rsid w:val="00B63449"/>
    <w:rsid w:val="00B67623"/>
    <w:rsid w:val="00B70CF3"/>
    <w:rsid w:val="00B70EE1"/>
    <w:rsid w:val="00B71C36"/>
    <w:rsid w:val="00B80C34"/>
    <w:rsid w:val="00B82538"/>
    <w:rsid w:val="00B860CD"/>
    <w:rsid w:val="00B87F72"/>
    <w:rsid w:val="00B96524"/>
    <w:rsid w:val="00BA01F1"/>
    <w:rsid w:val="00BB205C"/>
    <w:rsid w:val="00BB7B84"/>
    <w:rsid w:val="00BC46BE"/>
    <w:rsid w:val="00BC56BD"/>
    <w:rsid w:val="00BC633A"/>
    <w:rsid w:val="00BC63F6"/>
    <w:rsid w:val="00BC6782"/>
    <w:rsid w:val="00BD49EA"/>
    <w:rsid w:val="00BE0B4D"/>
    <w:rsid w:val="00BF1025"/>
    <w:rsid w:val="00BF31B7"/>
    <w:rsid w:val="00BF4390"/>
    <w:rsid w:val="00BF46EA"/>
    <w:rsid w:val="00C0703B"/>
    <w:rsid w:val="00C141DD"/>
    <w:rsid w:val="00C1700A"/>
    <w:rsid w:val="00C2728F"/>
    <w:rsid w:val="00C309C5"/>
    <w:rsid w:val="00C3108A"/>
    <w:rsid w:val="00C33201"/>
    <w:rsid w:val="00C41212"/>
    <w:rsid w:val="00C46958"/>
    <w:rsid w:val="00C54113"/>
    <w:rsid w:val="00C61826"/>
    <w:rsid w:val="00C61ADB"/>
    <w:rsid w:val="00C65A5E"/>
    <w:rsid w:val="00C779CA"/>
    <w:rsid w:val="00C848FA"/>
    <w:rsid w:val="00C967F6"/>
    <w:rsid w:val="00CA1643"/>
    <w:rsid w:val="00CA1E49"/>
    <w:rsid w:val="00CA4003"/>
    <w:rsid w:val="00CA5A11"/>
    <w:rsid w:val="00CA5A72"/>
    <w:rsid w:val="00CB5B67"/>
    <w:rsid w:val="00CB6B00"/>
    <w:rsid w:val="00CD398F"/>
    <w:rsid w:val="00CD4BD2"/>
    <w:rsid w:val="00CD714F"/>
    <w:rsid w:val="00CE0504"/>
    <w:rsid w:val="00CE05AD"/>
    <w:rsid w:val="00CE066A"/>
    <w:rsid w:val="00D03C63"/>
    <w:rsid w:val="00D04236"/>
    <w:rsid w:val="00D04D68"/>
    <w:rsid w:val="00D13669"/>
    <w:rsid w:val="00D15672"/>
    <w:rsid w:val="00D16CA1"/>
    <w:rsid w:val="00D1797F"/>
    <w:rsid w:val="00D21D54"/>
    <w:rsid w:val="00D2418B"/>
    <w:rsid w:val="00D241EB"/>
    <w:rsid w:val="00D26262"/>
    <w:rsid w:val="00D36331"/>
    <w:rsid w:val="00D36FFB"/>
    <w:rsid w:val="00D4196C"/>
    <w:rsid w:val="00D46D1E"/>
    <w:rsid w:val="00D56AA6"/>
    <w:rsid w:val="00D57438"/>
    <w:rsid w:val="00D579B8"/>
    <w:rsid w:val="00D62892"/>
    <w:rsid w:val="00D63862"/>
    <w:rsid w:val="00D639D3"/>
    <w:rsid w:val="00D6787E"/>
    <w:rsid w:val="00D7173F"/>
    <w:rsid w:val="00D7540D"/>
    <w:rsid w:val="00D7558F"/>
    <w:rsid w:val="00D76520"/>
    <w:rsid w:val="00D829E0"/>
    <w:rsid w:val="00D83CB4"/>
    <w:rsid w:val="00D86C54"/>
    <w:rsid w:val="00D8701A"/>
    <w:rsid w:val="00D87F39"/>
    <w:rsid w:val="00D92509"/>
    <w:rsid w:val="00D94D08"/>
    <w:rsid w:val="00DA336E"/>
    <w:rsid w:val="00DB0E34"/>
    <w:rsid w:val="00DB142A"/>
    <w:rsid w:val="00DB4C5A"/>
    <w:rsid w:val="00DC1C25"/>
    <w:rsid w:val="00DC480D"/>
    <w:rsid w:val="00DD19F7"/>
    <w:rsid w:val="00DD2ACE"/>
    <w:rsid w:val="00DD33E8"/>
    <w:rsid w:val="00DD6D45"/>
    <w:rsid w:val="00DE1B63"/>
    <w:rsid w:val="00DE6C31"/>
    <w:rsid w:val="00DF0A3A"/>
    <w:rsid w:val="00DF193A"/>
    <w:rsid w:val="00DF2AC2"/>
    <w:rsid w:val="00E01A31"/>
    <w:rsid w:val="00E02B50"/>
    <w:rsid w:val="00E07F19"/>
    <w:rsid w:val="00E1612B"/>
    <w:rsid w:val="00E17B70"/>
    <w:rsid w:val="00E23D7C"/>
    <w:rsid w:val="00E24A5E"/>
    <w:rsid w:val="00E27B98"/>
    <w:rsid w:val="00E36054"/>
    <w:rsid w:val="00E43DAE"/>
    <w:rsid w:val="00E456A2"/>
    <w:rsid w:val="00E5152C"/>
    <w:rsid w:val="00E60471"/>
    <w:rsid w:val="00E6048B"/>
    <w:rsid w:val="00E62FD7"/>
    <w:rsid w:val="00E64E69"/>
    <w:rsid w:val="00E70778"/>
    <w:rsid w:val="00E75F64"/>
    <w:rsid w:val="00E95D84"/>
    <w:rsid w:val="00E97D70"/>
    <w:rsid w:val="00EA6366"/>
    <w:rsid w:val="00EB52F3"/>
    <w:rsid w:val="00EB6530"/>
    <w:rsid w:val="00ED0C1A"/>
    <w:rsid w:val="00ED7A53"/>
    <w:rsid w:val="00EE23F2"/>
    <w:rsid w:val="00EE3686"/>
    <w:rsid w:val="00EE5A6A"/>
    <w:rsid w:val="00EF0362"/>
    <w:rsid w:val="00EF231C"/>
    <w:rsid w:val="00EF2A9D"/>
    <w:rsid w:val="00EF4FDB"/>
    <w:rsid w:val="00EF652D"/>
    <w:rsid w:val="00EF6BB2"/>
    <w:rsid w:val="00F02440"/>
    <w:rsid w:val="00F170EA"/>
    <w:rsid w:val="00F17A5B"/>
    <w:rsid w:val="00F23E50"/>
    <w:rsid w:val="00F2674D"/>
    <w:rsid w:val="00F370CF"/>
    <w:rsid w:val="00F373EB"/>
    <w:rsid w:val="00F41C96"/>
    <w:rsid w:val="00F42AC7"/>
    <w:rsid w:val="00F430E5"/>
    <w:rsid w:val="00F506DA"/>
    <w:rsid w:val="00F54FE5"/>
    <w:rsid w:val="00F55007"/>
    <w:rsid w:val="00F610E6"/>
    <w:rsid w:val="00F71D6D"/>
    <w:rsid w:val="00F77DEF"/>
    <w:rsid w:val="00F831C8"/>
    <w:rsid w:val="00F84E8C"/>
    <w:rsid w:val="00F91844"/>
    <w:rsid w:val="00F92364"/>
    <w:rsid w:val="00FA1106"/>
    <w:rsid w:val="00FA21D4"/>
    <w:rsid w:val="00FA4033"/>
    <w:rsid w:val="00FA4BFA"/>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34771A7-AA31-4F01-BA6D-F41CE1A1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23</Pages>
  <Words>8717</Words>
  <Characters>49691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167</cp:revision>
  <dcterms:created xsi:type="dcterms:W3CDTF">2018-01-12T22:29:00Z</dcterms:created>
  <dcterms:modified xsi:type="dcterms:W3CDTF">2018-02-16T16:38:00Z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