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77777777"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Evan van Lier 2017:242)</w:t>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w:t>
      </w:r>
      <w:proofErr w:type="spellStart"/>
      <w:r>
        <w:t>ever</w:t>
      </w:r>
      <w:proofErr w:type="spellEnd"/>
      <w:r>
        <w:t xml:space="preserve">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7777777"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4ABE3EE8"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Evan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5A19D2" w:rsidRPr="005A19D2">
        <w:rPr>
          <w:noProof/>
        </w:rPr>
        <w:t>Hopper &amp; Thompson 1984</w:t>
      </w:r>
      <w:r w:rsidR="009D2000">
        <w:t xml:space="preserve">, </w:t>
      </w:r>
      <w:r w:rsidR="005A19D2" w:rsidRPr="005A19D2">
        <w:rPr>
          <w:noProof/>
        </w:rPr>
        <w:t>Thompson 1989</w:t>
      </w:r>
      <w:r w:rsidR="009D2000">
        <w:t xml:space="preserve">, and </w:t>
      </w:r>
      <w:r w:rsidR="005A19D2" w:rsidRPr="005A19D2">
        <w:rPr>
          <w:noProof/>
        </w:rPr>
        <w:t xml:space="preserve">Nakayama </w:t>
      </w:r>
      <w:r w:rsidR="00420544">
        <w:rPr>
          <w:noProof/>
        </w:rPr>
        <w:t>2002</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77777777"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73FF64A6" w14:textId="77777777" w:rsidR="00BC46BE"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1B5863">
        <w:t xml:space="preserve"> </w:t>
      </w:r>
      <w:r w:rsidR="00BC46BE">
        <w:t>Conversely</w:t>
      </w:r>
      <w:r w:rsidR="001B5863">
        <w:t xml:space="preserve">, Nakayama </w:t>
      </w:r>
      <w:r w:rsidR="00860B89" w:rsidRPr="00860B89">
        <w:rPr>
          <w:noProof/>
        </w:rPr>
        <w:t>(2002:3, 54, 57)</w:t>
      </w:r>
      <w:r w:rsidR="00C46958">
        <w:t xml:space="preserve"> </w:t>
      </w:r>
      <w:r w:rsidR="001B5863">
        <w:t xml:space="preserve">argues that </w:t>
      </w:r>
      <w:r w:rsidR="00BC46BE">
        <w:t xml:space="preserve">this model </w:t>
      </w:r>
      <w:r w:rsidR="00DD33E8">
        <w:t xml:space="preserve">also </w:t>
      </w:r>
      <w:r w:rsidR="001B5863">
        <w:t>explains the highly flexible nature of lexemes in Nuuchahnulth (</w:t>
      </w:r>
      <w:r w:rsidR="00D46D1E">
        <w:t xml:space="preserve">a.k.a Nootka; </w:t>
      </w:r>
      <w:r w:rsidR="001B5863">
        <w:t>Wakashan)</w:t>
      </w:r>
      <w:r w:rsidR="004573C0">
        <w:t xml:space="preserve"> as compared to more categorically rigid languages.</w:t>
      </w:r>
      <w:r w:rsidR="00BC46BE">
        <w:t xml:space="preserve"> Lexical categories in Nuuchahnulth are 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77777777" w:rsidR="00E62FD7" w:rsidRDefault="00E62FD7" w:rsidP="001B5863">
      <w:r>
        <w:t>The specific research questions I ask in this dissertation are as follows:</w:t>
      </w:r>
    </w:p>
    <w:p w14:paraId="515A098B" w14:textId="2179DFEC" w:rsidR="00E62FD7" w:rsidRDefault="00860784" w:rsidP="00E62FD7">
      <w:pPr>
        <w:pStyle w:val="ListParagraph"/>
        <w:numPr>
          <w:ilvl w:val="0"/>
          <w:numId w:val="10"/>
        </w:numPr>
      </w:pPr>
      <w:bookmarkStart w:id="4"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 of the lexeme?</w:t>
      </w:r>
      <w:r w:rsidR="009141BE">
        <w:t xml:space="preserve"> (Chapter 2)</w:t>
      </w:r>
    </w:p>
    <w:p w14:paraId="062D0998" w14:textId="77777777" w:rsidR="00860784" w:rsidRDefault="00860784" w:rsidP="00E62FD7">
      <w:pPr>
        <w:pStyle w:val="ListParagraph"/>
        <w:numPr>
          <w:ilvl w:val="0"/>
          <w:numId w:val="10"/>
        </w:numPr>
      </w:pPr>
      <w:r>
        <w:lastRenderedPageBreak/>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time-stable items and/or events?</w:t>
      </w:r>
      <w:r>
        <w:t xml:space="preserve"> </w:t>
      </w:r>
      <w:r w:rsidR="009B264B">
        <w:t>(Chapter 3)</w:t>
      </w:r>
      <w:r w:rsidR="00C2728F">
        <w:t xml:space="preserve"> </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4"/>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5" w:name="_Ref502225471"/>
      <w:r>
        <w:t>Background</w:t>
      </w:r>
      <w:bookmarkEnd w:id="5"/>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7777777"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w:t>
      </w:r>
      <w:proofErr w:type="spellStart"/>
      <w:r w:rsidRPr="009B6AF6">
        <w:t>Remnius</w:t>
      </w:r>
      <w:proofErr w:type="spellEnd"/>
      <w:r w:rsidRPr="009B6AF6">
        <w:t xml:space="preserve"> </w:t>
      </w:r>
      <w:proofErr w:type="spellStart"/>
      <w:r w:rsidRPr="009B6AF6">
        <w:t>Palaemon</w:t>
      </w:r>
      <w:proofErr w:type="spellEnd"/>
      <w:r w:rsidRPr="009B6AF6">
        <w:t xml:space="preserve">, initiating a tradition wherein the languages of </w:t>
      </w:r>
      <w:r>
        <w:t xml:space="preserve">Europe and eventually the world (see for example McDonald </w:t>
      </w:r>
      <w:r w:rsidRPr="00023D6E">
        <w:rPr>
          <w:noProof/>
        </w:rPr>
        <w:t>(2013)</w:t>
      </w:r>
      <w:r>
        <w:t xml:space="preserve">) were described using both Dionysius’ eight categories (with some variation)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 xml:space="preserve">(Boas </w:t>
      </w:r>
      <w:r w:rsidRPr="002D4762">
        <w:rPr>
          <w:noProof/>
        </w:rPr>
        <w:lastRenderedPageBreak/>
        <w:t>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77777777"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essentially became the sole method of syntactic analysis in modern linguistics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1DAD9803" w14:textId="77777777" w:rsidR="00BE0B4D" w:rsidRDefault="00BE0B4D" w:rsidP="00351494">
      <w:r w:rsidRPr="00BE0B4D">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w:t>
      </w:r>
      <w:r w:rsidRPr="00F506DA">
        <w:lastRenderedPageBreak/>
        <w:t xml:space="preserve">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w:t>
      </w:r>
      <w:r w:rsidR="00F71D6D">
        <w:lastRenderedPageBreak/>
        <w:t>modification, and an action for predication</w:t>
      </w:r>
      <w:r w:rsidR="006F5BD1">
        <w:t xml:space="preserve"> form the prototypal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77777777"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B0E07C4" w14:textId="77777777" w:rsidR="001A511C" w:rsidRDefault="001D0716" w:rsidP="006015BF">
      <w:r w:rsidRPr="001D0716">
        <w:t xml:space="preserve">One common response to claims of lexical flexibility in a language is to show that the grammar does in fact show evidence for categorical distinctions, but that the evidence is simply </w:t>
      </w:r>
      <w:r w:rsidRPr="001D0716">
        <w:lastRenderedPageBreak/>
        <w:t>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344CB13C" w14:textId="77777777"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77777777" w:rsidR="006015BF" w:rsidRDefault="006015BF" w:rsidP="006015BF">
      <w:r>
        <w:t xml:space="preserve">In stark contrast to this first approach, some have embraced the existence of flexible categories and argued extensively for their existence </w:t>
      </w:r>
      <w:r w:rsidR="00B70CF3" w:rsidRPr="00B70CF3">
        <w:rPr>
          <w:noProof/>
        </w:rPr>
        <w:t>(Kuipers 1968; Kinkade 1983; Hengeveld 1992; Broschart 1997; Gil 2005;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77777777"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w:t>
      </w:r>
      <w:r w:rsidRPr="00985A7C">
        <w:lastRenderedPageBreak/>
        <w:t>basis that the meaning of a lexeme changes when it is used in different functions.</w:t>
      </w:r>
      <w:r>
        <w:t xml:space="preserve"> </w:t>
      </w:r>
      <w:r w:rsidRPr="00985A7C">
        <w:t>Mithun also has in various studies</w:t>
      </w:r>
      <w:r>
        <w:t xml:space="preserve"> </w:t>
      </w:r>
      <w:r w:rsidR="004A6C18" w:rsidRPr="004A6C18">
        <w:rPr>
          <w:noProof/>
        </w:rPr>
        <w:t>(Mithun 1999; Mithun 2000; Mithun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77777777"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77777777" w:rsidR="00630E00" w:rsidRPr="00C33201" w:rsidRDefault="00630E00" w:rsidP="0066257F">
      <w:pPr>
        <w:rPr>
          <w:rFonts w:ascii="Charis SIL" w:hAnsi="Charis SIL" w:cs="Charis SIL"/>
        </w:rPr>
      </w:pPr>
      <w:r>
        <w:t>If however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w:t>
      </w:r>
      <w:r>
        <w:lastRenderedPageBreak/>
        <w:t>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r>
        <w:t>Functional Motivations for Lexical Flexibility</w:t>
      </w:r>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77777777"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rsidR="002E602A" w:rsidRPr="002E602A">
        <w:rPr>
          <w:noProof/>
        </w:rPr>
        <w:t>(Sapir 1921:117–119; Givón 1979:320–321; Lyons 1977:442–447)</w:t>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w:t>
      </w:r>
      <w:r>
        <w:lastRenderedPageBreak/>
        <w:t>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77777777" w:rsidR="006D192C" w:rsidRDefault="006D192C" w:rsidP="006D192C">
      <w:r w:rsidRPr="006D192C">
        <w:t>A similar point is made by Nakayma</w:t>
      </w:r>
      <w:r>
        <w:t xml:space="preserve"> </w:t>
      </w:r>
      <w:r w:rsidRPr="006D192C">
        <w:rPr>
          <w:noProof/>
        </w:rPr>
        <w:t>(2002)</w:t>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6" w:name="_Ref503355089"/>
      <w:r>
        <w:lastRenderedPageBreak/>
        <w:t>Data &amp; Methods</w:t>
      </w:r>
      <w:bookmarkEnd w:id="6"/>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77777777" w:rsidR="005255A9" w:rsidRDefault="006F6DDE" w:rsidP="005255A9">
      <w:pPr>
        <w:ind w:firstLine="0"/>
      </w:pPr>
      <w:r>
        <w:t>I currently plan to include at least the following languages in the sample. More may be added if time permits.</w:t>
      </w:r>
    </w:p>
    <w:p w14:paraId="08D89016" w14:textId="77777777" w:rsidR="006F6DDE" w:rsidRPr="00D26262" w:rsidRDefault="006F6DDE" w:rsidP="006F6DDE">
      <w:pPr>
        <w:pStyle w:val="ListParagraph"/>
        <w:numPr>
          <w:ilvl w:val="0"/>
          <w:numId w:val="10"/>
        </w:numPr>
        <w:ind w:left="720"/>
      </w:pPr>
      <w:r w:rsidRPr="00D26262">
        <w:t>Central Alaskan Yup’ik (Eskimo-Aleut &gt; Eskimo)</w:t>
      </w:r>
    </w:p>
    <w:p w14:paraId="771C47BF" w14:textId="77777777" w:rsidR="006F6DDE" w:rsidRPr="00D26262" w:rsidRDefault="006F6DDE" w:rsidP="006F6DDE">
      <w:pPr>
        <w:pStyle w:val="ListParagraph"/>
        <w:numPr>
          <w:ilvl w:val="0"/>
          <w:numId w:val="10"/>
        </w:numPr>
        <w:ind w:left="720"/>
      </w:pPr>
      <w:r w:rsidRPr="00D26262">
        <w:t>Chitimacha (isolate)</w:t>
      </w:r>
    </w:p>
    <w:p w14:paraId="12F96D97" w14:textId="77777777" w:rsidR="006F6DDE" w:rsidRPr="00D26262" w:rsidRDefault="006F6DDE" w:rsidP="006F6DDE">
      <w:pPr>
        <w:pStyle w:val="ListParagraph"/>
        <w:numPr>
          <w:ilvl w:val="0"/>
          <w:numId w:val="10"/>
        </w:numPr>
        <w:ind w:left="720"/>
      </w:pPr>
      <w:r w:rsidRPr="00D26262">
        <w:t>English (Indo-European &gt; Germanic)</w:t>
      </w:r>
    </w:p>
    <w:p w14:paraId="05EDEF6F" w14:textId="77777777" w:rsidR="006F6DDE" w:rsidRPr="00D26262" w:rsidRDefault="006F6DDE" w:rsidP="006F6DDE">
      <w:pPr>
        <w:pStyle w:val="ListParagraph"/>
        <w:numPr>
          <w:ilvl w:val="0"/>
          <w:numId w:val="10"/>
        </w:numPr>
        <w:ind w:left="720"/>
      </w:pPr>
      <w:r w:rsidRPr="00D26262">
        <w:t>Nuuchahnulth (</w:t>
      </w:r>
      <w:r w:rsidR="00A54C27" w:rsidRPr="00D26262">
        <w:t xml:space="preserve">a.k.a. Nootka; </w:t>
      </w:r>
      <w:r w:rsidRPr="00D26262">
        <w:t>Wakashan)</w:t>
      </w:r>
    </w:p>
    <w:p w14:paraId="140723EF" w14:textId="77777777" w:rsidR="006F6DDE" w:rsidRPr="00D26262" w:rsidRDefault="006F6DDE" w:rsidP="006F6DDE">
      <w:pPr>
        <w:pStyle w:val="ListParagraph"/>
        <w:numPr>
          <w:ilvl w:val="0"/>
          <w:numId w:val="10"/>
        </w:numPr>
        <w:ind w:left="720"/>
      </w:pPr>
      <w:r w:rsidRPr="00D26262">
        <w:t>Riau Indonesian (Austronesian &gt; Malayo-Polynesian)</w:t>
      </w:r>
    </w:p>
    <w:p w14:paraId="70FA3A8C" w14:textId="77777777" w:rsidR="006F6DDE" w:rsidRPr="00D26262" w:rsidRDefault="006F6DDE" w:rsidP="006F6DDE">
      <w:pPr>
        <w:pStyle w:val="ListParagraph"/>
        <w:numPr>
          <w:ilvl w:val="0"/>
          <w:numId w:val="10"/>
        </w:numPr>
        <w:ind w:left="720"/>
      </w:pPr>
      <w:r w:rsidRPr="00D26262">
        <w:t>Spanish (Indo-European &gt; Romance)</w:t>
      </w:r>
    </w:p>
    <w:p w14:paraId="4AA50BF0" w14:textId="77777777" w:rsidR="006F6DDE" w:rsidRPr="00D26262" w:rsidRDefault="006F6DDE" w:rsidP="006F6DDE">
      <w:pPr>
        <w:pStyle w:val="ListParagraph"/>
        <w:numPr>
          <w:ilvl w:val="0"/>
          <w:numId w:val="10"/>
        </w:numPr>
        <w:ind w:left="720"/>
      </w:pPr>
      <w:r w:rsidRPr="00D26262">
        <w:t>Swahili (Niger-Congo &gt; Bantu)</w:t>
      </w:r>
    </w:p>
    <w:p w14:paraId="38C7D26D" w14:textId="77777777" w:rsidR="008B45B4" w:rsidRDefault="006F6DDE" w:rsidP="008B45B4">
      <w:r>
        <w:t xml:space="preserve">Each of the 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w:t>
      </w:r>
      <w:r w:rsidR="00014626">
        <w:lastRenderedPageBreak/>
        <w:t xml:space="preserve">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224873">
      <w:pPr>
        <w:pStyle w:val="Caption"/>
        <w:keepNext/>
        <w:spacing w:before="240"/>
        <w:jc w:val="center"/>
      </w:pPr>
      <w:bookmarkStart w:id="7" w:name="_Ref503350959"/>
      <w:r w:rsidRPr="00224873">
        <w:t xml:space="preserve">Table </w:t>
      </w:r>
      <w:fldSimple w:instr=" SEQ Table \* ARABIC ">
        <w:r w:rsidRPr="00224873">
          <w:rPr>
            <w:noProof/>
          </w:rPr>
          <w:t>1</w:t>
        </w:r>
      </w:fldSimple>
      <w:bookmarkEnd w:id="7"/>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414201">
            <w:pPr>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414201">
            <w:pPr>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414201">
            <w:pPr>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414201">
            <w:pPr>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414201">
            <w:pPr>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414201">
            <w:pPr>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414201">
            <w:pPr>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414201">
            <w:pPr>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414201">
            <w:pPr>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414201">
            <w:pPr>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414201">
            <w:pPr>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414201">
            <w:pPr>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414201">
            <w:pPr>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414201">
            <w:pPr>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414201">
            <w:pPr>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414201">
            <w:pPr>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2AB64280" w14:textId="77777777" w:rsidR="00A9656A" w:rsidRPr="00414201" w:rsidRDefault="0001272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414201">
            <w:pPr>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414201">
            <w:pPr>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414201">
            <w:pPr>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414201">
            <w:pPr>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414201">
            <w:pPr>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414201">
            <w:pPr>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414201">
            <w:pPr>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414201">
            <w:pPr>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6D3534FC"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414201">
            <w:pPr>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414201">
            <w:pPr>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414201">
            <w:pPr>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414201">
            <w:pPr>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414201">
            <w:pPr>
              <w:spacing w:line="240" w:lineRule="auto"/>
              <w:ind w:firstLine="0"/>
              <w:jc w:val="center"/>
            </w:pPr>
            <w:r w:rsidRPr="00414201">
              <w:t>9</w:t>
            </w:r>
          </w:p>
        </w:tc>
        <w:tc>
          <w:tcPr>
            <w:tcW w:w="857" w:type="dxa"/>
            <w:shd w:val="clear" w:color="auto" w:fill="auto"/>
          </w:tcPr>
          <w:p w14:paraId="6DA310DD" w14:textId="77777777" w:rsidR="00A9656A" w:rsidRPr="00414201" w:rsidRDefault="003652A5"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414201">
            <w:pPr>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414201">
            <w:pPr>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414201">
            <w:pPr>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3ADF84F4"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414201">
            <w:pPr>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414201">
            <w:pPr>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414201">
            <w:pPr>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414201">
            <w:pPr>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44858CE1"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414201">
            <w:pPr>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414201">
            <w:pPr>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414201">
            <w:pPr>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414201">
            <w:pPr>
              <w:spacing w:line="240" w:lineRule="auto"/>
              <w:ind w:firstLine="0"/>
              <w:jc w:val="center"/>
            </w:pPr>
            <w:r w:rsidRPr="00414201">
              <w:t>2</w:t>
            </w:r>
          </w:p>
        </w:tc>
        <w:tc>
          <w:tcPr>
            <w:tcW w:w="857" w:type="dxa"/>
            <w:shd w:val="clear" w:color="auto" w:fill="auto"/>
          </w:tcPr>
          <w:p w14:paraId="2E1ED6A1"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414201">
            <w:pPr>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414201">
            <w:pPr>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414201">
            <w:pPr>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414201">
            <w:pPr>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414201">
            <w:pPr>
              <w:spacing w:line="240" w:lineRule="auto"/>
              <w:ind w:firstLine="0"/>
              <w:jc w:val="center"/>
            </w:pPr>
            <w:r w:rsidRPr="00414201">
              <w:t>0</w:t>
            </w:r>
          </w:p>
        </w:tc>
        <w:tc>
          <w:tcPr>
            <w:tcW w:w="857" w:type="dxa"/>
            <w:shd w:val="clear" w:color="auto" w:fill="auto"/>
          </w:tcPr>
          <w:p w14:paraId="26DA9C47" w14:textId="77777777" w:rsidR="00A9656A" w:rsidRPr="00414201" w:rsidRDefault="002811C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9EFE901" w14:textId="77777777"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 xml:space="preserve">depend on its token frequency? 2) Does the degree of lexical flexibility exhibited in a corpus depend on the overall size of the corpus? If so, it will be important to control for these factors when operationalizing the degree of lexical flexibility for a lexeme. </w:t>
      </w:r>
      <w:r w:rsidR="009B264B">
        <w:t>Chapter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8" w:name="_Ref503178933"/>
      <w:r>
        <w:t>Outline</w:t>
      </w:r>
      <w:bookmarkEnd w:id="8"/>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 xml:space="preserve">Once the degree of lexical flexibility has been assessed for each lexical item in the corpora, subsequent chapters then examine the extent to which that flexibility correlates with </w:t>
      </w:r>
      <w:r>
        <w:lastRenderedPageBreak/>
        <w:t>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77777777"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w:t>
      </w:r>
      <w:proofErr w:type="gramStart"/>
      <w:r w:rsidR="00C848FA">
        <w:t>similar to</w:t>
      </w:r>
      <w:proofErr w:type="gramEnd"/>
      <w:r w:rsidR="00C848FA">
        <w:t xml:space="preserve">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3EE2F6B7" w:rsidR="00F170EA" w:rsidRDefault="006E2B40" w:rsidP="001E4C32">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w:t>
      </w:r>
      <w:r w:rsidR="00D6787E">
        <w:lastRenderedPageBreak/>
        <w:t xml:space="preserve">of a </w:t>
      </w:r>
      <w:r w:rsidR="00D26262">
        <w:t>semantic</w:t>
      </w:r>
      <w:r w:rsidR="00D6787E">
        <w:t xml:space="preserve"> domain to undergo metaphorical extensions into the instrumental, positional, movement-oriented, or temporal domains.</w:t>
      </w:r>
    </w:p>
    <w:p w14:paraId="39096F03" w14:textId="77777777"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9" w:name="_Ref503526122"/>
      <w:r>
        <w:t xml:space="preserve">Figure </w:t>
      </w:r>
      <w:fldSimple w:instr=" SEQ Figure \* ARABIC ">
        <w:r>
          <w:rPr>
            <w:noProof/>
          </w:rPr>
          <w:t>1</w:t>
        </w:r>
      </w:fldSimple>
      <w:bookmarkEnd w:id="9"/>
      <w:r>
        <w:t>. The topicality hierarchy</w:t>
      </w:r>
    </w:p>
    <w:p w14:paraId="5FE94350" w14:textId="77777777" w:rsid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p>
    <w:p w14:paraId="12C84415" w14:textId="77777777" w:rsidR="00F170EA" w:rsidRPr="00D829E0" w:rsidRDefault="00F170EA" w:rsidP="00F170EA">
      <w:r>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crosslinguistic typology of adjectives. That is, are core property concepts (age, dimension, value, color) more or less flexible than more typologically peripheral property concepts (physical characteristics, shape, human propensity, speed)? I hypothesize that core property concepts will exhibit a greater degree of lexical flexibility than more peripheral ones.</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w:t>
      </w:r>
      <w:r>
        <w:lastRenderedPageBreak/>
        <w:t xml:space="preserve">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77777777"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565E194E" w:rsidR="007B4469" w:rsidRPr="007B4469" w:rsidRDefault="007B4469" w:rsidP="007B4469">
      <w:r>
        <w:t xml:space="preserve">I conclude the dissertation by discussing the broader implications of the preceding chapters. </w:t>
      </w:r>
      <w:r w:rsidR="00D26262">
        <w:t>I</w:t>
      </w:r>
      <w:r>
        <w:t xml:space="preserve">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bookmarkStart w:id="10" w:name="_GoBack"/>
      <w:bookmarkEnd w:id="10"/>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B565AB2"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08704AC" w14:textId="01C8EAC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6F3311F2"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&amp; Eva van Lier. 2003. Derivation and categorization in flexible and differentiated languages. In Jan Rijkhoff &amp; Eva va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lastRenderedPageBreak/>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63B31702"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Gil, David. 2005. Isolating-monocategorial-associational language. In Henri Cohen &amp; Claire Lefebvre (eds.), </w:t>
      </w:r>
      <w:r w:rsidRPr="00D1797F">
        <w:rPr>
          <w:rStyle w:val="BookTitle"/>
        </w:rPr>
        <w:t>Handbook of categorization in cognitive science</w:t>
      </w:r>
      <w:r>
        <w:rPr>
          <w:noProof/>
        </w:rPr>
        <w:t>, pp. 348–377. Amstedam: Elsevier.</w:t>
      </w:r>
    </w:p>
    <w:p w14:paraId="1F271D05"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8"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519A1B1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4F157571" w14:textId="77777777"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09A7DCDD" w14:textId="65E911D5" w:rsidR="007D4789" w:rsidRDefault="00C967F6" w:rsidP="001A2233">
      <w:pPr>
        <w:keepLines/>
        <w:widowControl w:val="0"/>
        <w:autoSpaceDE w:val="0"/>
        <w:autoSpaceDN w:val="0"/>
        <w:adjustRightInd w:val="0"/>
        <w:spacing w:before="120" w:after="120" w:line="240" w:lineRule="auto"/>
        <w:ind w:left="480" w:hanging="480"/>
        <w:rPr>
          <w:noProof/>
        </w:rPr>
      </w:pPr>
      <w:r>
        <w:rPr>
          <w:noProof/>
        </w:rPr>
        <w:t xml:space="preserve">Lier, Evan van (ed.). 2017.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2E8C269E" w14:textId="0BC8F72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2017. Introduction: Lexical flexibility in Oceanic languages. </w:t>
      </w:r>
      <w:r w:rsidRPr="00B157BC">
        <w:rPr>
          <w:rStyle w:val="BookTitle"/>
        </w:rPr>
        <w:t>Studies in Language</w:t>
      </w:r>
      <w:r w:rsidRPr="003C09AB">
        <w:rPr>
          <w:noProof/>
        </w:rPr>
        <w:t xml:space="preserve"> 41(2)</w:t>
      </w:r>
      <w:r w:rsidR="002002C5">
        <w:rPr>
          <w:noProof/>
        </w:rPr>
        <w:t>:</w:t>
      </w:r>
      <w:r w:rsidRPr="003C09AB">
        <w:rPr>
          <w:noProof/>
        </w:rPr>
        <w:t xml:space="preserve"> 241–254.</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9"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FB786C2" w14:textId="3B9808F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3E8CC89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32C55CB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Cross-linguistic,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7BB2AEE2"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p w14:paraId="10EC10B6" w14:textId="77777777" w:rsidR="00FD59DC" w:rsidRPr="003C09AB" w:rsidRDefault="00FD59DC" w:rsidP="001A2233">
      <w:pPr>
        <w:keepLines/>
        <w:spacing w:before="120" w:after="120" w:line="240" w:lineRule="auto"/>
        <w:ind w:firstLine="0"/>
      </w:pPr>
    </w:p>
    <w:sectPr w:rsidR="00FD59DC" w:rsidRPr="003C09AB"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AFD8" w14:textId="77777777" w:rsidR="00455AE7" w:rsidRDefault="00455AE7" w:rsidP="00CA5A11">
      <w:r>
        <w:separator/>
      </w:r>
    </w:p>
  </w:endnote>
  <w:endnote w:type="continuationSeparator" w:id="0">
    <w:p w14:paraId="05E1657E" w14:textId="77777777" w:rsidR="00455AE7" w:rsidRDefault="00455AE7"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3C71532A" w:rsidR="00455AE7" w:rsidRDefault="00455AE7" w:rsidP="007268BD">
    <w:pPr>
      <w:pStyle w:val="Footer"/>
      <w:jc w:val="center"/>
    </w:pPr>
    <w:r>
      <w:rPr>
        <w:noProof w:val="0"/>
      </w:rPr>
      <w:fldChar w:fldCharType="begin"/>
    </w:r>
    <w:r>
      <w:instrText xml:space="preserve"> PAGE   \* MERGEFORMAT </w:instrText>
    </w:r>
    <w:r>
      <w:rPr>
        <w:noProof w:val="0"/>
      </w:rPr>
      <w:fldChar w:fldCharType="separate"/>
    </w:r>
    <w:r w:rsidR="00147A4A">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39C911EF" w:rsidR="00455AE7" w:rsidRDefault="00455AE7" w:rsidP="00FD59DC">
    <w:pPr>
      <w:pStyle w:val="Footer"/>
      <w:jc w:val="center"/>
    </w:pPr>
    <w:r>
      <w:rPr>
        <w:noProof w:val="0"/>
      </w:rPr>
      <w:fldChar w:fldCharType="begin"/>
    </w:r>
    <w:r>
      <w:instrText xml:space="preserve"> PAGE   \* MERGEFORMAT </w:instrText>
    </w:r>
    <w:r>
      <w:rPr>
        <w:noProof w:val="0"/>
      </w:rPr>
      <w:fldChar w:fldCharType="separate"/>
    </w:r>
    <w:r w:rsidR="00147A4A">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32DF" w14:textId="77777777" w:rsidR="00455AE7" w:rsidRDefault="00455AE7" w:rsidP="00CA5A11">
      <w:r>
        <w:separator/>
      </w:r>
    </w:p>
  </w:footnote>
  <w:footnote w:type="continuationSeparator" w:id="0">
    <w:p w14:paraId="0C689F5C" w14:textId="77777777" w:rsidR="00455AE7" w:rsidRDefault="00455AE7" w:rsidP="00CA5A11">
      <w:r>
        <w:continuationSeparator/>
      </w:r>
    </w:p>
  </w:footnote>
  <w:footnote w:id="1">
    <w:p w14:paraId="3DDF32BD" w14:textId="68E0CC80" w:rsidR="00455AE7" w:rsidRDefault="00455AE7"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xml:space="preserve">, but </w:t>
      </w:r>
      <w:r w:rsidR="00D26262">
        <w:t>this phenomenon</w:t>
      </w:r>
      <w:r>
        <w:t xml:space="preserve"> will not be discussed here.</w:t>
      </w:r>
    </w:p>
    <w:p w14:paraId="36AA4BDC" w14:textId="77777777" w:rsidR="00455AE7" w:rsidRDefault="00455AE7">
      <w:pPr>
        <w:pStyle w:val="FootnoteText"/>
      </w:pPr>
      <w:r>
        <w:t xml:space="preserve"> </w:t>
      </w:r>
    </w:p>
  </w:footnote>
  <w:footnote w:id="2">
    <w:p w14:paraId="3E2D1089" w14:textId="77777777" w:rsidR="00455AE7" w:rsidRDefault="00455AE7">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455AE7" w:rsidRDefault="00455AE7">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455AE7" w:rsidRDefault="00455AE7">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2724"/>
    <w:rsid w:val="00012C2F"/>
    <w:rsid w:val="000138C5"/>
    <w:rsid w:val="00014626"/>
    <w:rsid w:val="000155EF"/>
    <w:rsid w:val="00015C5F"/>
    <w:rsid w:val="00020529"/>
    <w:rsid w:val="000227D7"/>
    <w:rsid w:val="000248C4"/>
    <w:rsid w:val="000258F5"/>
    <w:rsid w:val="0002602D"/>
    <w:rsid w:val="000314AB"/>
    <w:rsid w:val="00034EE5"/>
    <w:rsid w:val="00036CB3"/>
    <w:rsid w:val="00052D53"/>
    <w:rsid w:val="000575D9"/>
    <w:rsid w:val="000619B2"/>
    <w:rsid w:val="00070468"/>
    <w:rsid w:val="00071549"/>
    <w:rsid w:val="00073AB3"/>
    <w:rsid w:val="000762EE"/>
    <w:rsid w:val="00087A44"/>
    <w:rsid w:val="0009333F"/>
    <w:rsid w:val="0009429B"/>
    <w:rsid w:val="00095D94"/>
    <w:rsid w:val="000A1526"/>
    <w:rsid w:val="000B1A28"/>
    <w:rsid w:val="000B76B7"/>
    <w:rsid w:val="000C142E"/>
    <w:rsid w:val="000E0202"/>
    <w:rsid w:val="000E38C1"/>
    <w:rsid w:val="000F0C07"/>
    <w:rsid w:val="000F44E4"/>
    <w:rsid w:val="00113D04"/>
    <w:rsid w:val="001210D1"/>
    <w:rsid w:val="00122E7D"/>
    <w:rsid w:val="00132AD3"/>
    <w:rsid w:val="001335BD"/>
    <w:rsid w:val="001344CB"/>
    <w:rsid w:val="00143852"/>
    <w:rsid w:val="00144503"/>
    <w:rsid w:val="00147A4A"/>
    <w:rsid w:val="00147AB1"/>
    <w:rsid w:val="0019060E"/>
    <w:rsid w:val="00190EA1"/>
    <w:rsid w:val="00193C0D"/>
    <w:rsid w:val="001A121D"/>
    <w:rsid w:val="001A2233"/>
    <w:rsid w:val="001A511C"/>
    <w:rsid w:val="001B5863"/>
    <w:rsid w:val="001D0716"/>
    <w:rsid w:val="001D302D"/>
    <w:rsid w:val="001D73BA"/>
    <w:rsid w:val="001E25A4"/>
    <w:rsid w:val="001E4A7C"/>
    <w:rsid w:val="001E4C32"/>
    <w:rsid w:val="001F590F"/>
    <w:rsid w:val="001F736D"/>
    <w:rsid w:val="002002C5"/>
    <w:rsid w:val="002004BE"/>
    <w:rsid w:val="002008D9"/>
    <w:rsid w:val="0020387A"/>
    <w:rsid w:val="0021074C"/>
    <w:rsid w:val="00214730"/>
    <w:rsid w:val="00224873"/>
    <w:rsid w:val="002327DE"/>
    <w:rsid w:val="00241552"/>
    <w:rsid w:val="0024518B"/>
    <w:rsid w:val="00256A6B"/>
    <w:rsid w:val="00261E56"/>
    <w:rsid w:val="00274D9B"/>
    <w:rsid w:val="002811CA"/>
    <w:rsid w:val="00291257"/>
    <w:rsid w:val="002964BB"/>
    <w:rsid w:val="002A0CCD"/>
    <w:rsid w:val="002A268A"/>
    <w:rsid w:val="002A368A"/>
    <w:rsid w:val="002B21B1"/>
    <w:rsid w:val="002B69AE"/>
    <w:rsid w:val="002D4762"/>
    <w:rsid w:val="002D6C05"/>
    <w:rsid w:val="002E02BA"/>
    <w:rsid w:val="002E257E"/>
    <w:rsid w:val="002E602A"/>
    <w:rsid w:val="003020EE"/>
    <w:rsid w:val="00305745"/>
    <w:rsid w:val="00305A78"/>
    <w:rsid w:val="0031361F"/>
    <w:rsid w:val="00313B0C"/>
    <w:rsid w:val="00323BEF"/>
    <w:rsid w:val="00327B49"/>
    <w:rsid w:val="0033418F"/>
    <w:rsid w:val="003366D2"/>
    <w:rsid w:val="00340121"/>
    <w:rsid w:val="00341C59"/>
    <w:rsid w:val="00351494"/>
    <w:rsid w:val="00360AB2"/>
    <w:rsid w:val="003614A4"/>
    <w:rsid w:val="003652A5"/>
    <w:rsid w:val="003671E8"/>
    <w:rsid w:val="00370C45"/>
    <w:rsid w:val="003770F8"/>
    <w:rsid w:val="0038538F"/>
    <w:rsid w:val="00396F5C"/>
    <w:rsid w:val="003A3611"/>
    <w:rsid w:val="003A70E1"/>
    <w:rsid w:val="003B4557"/>
    <w:rsid w:val="003C0562"/>
    <w:rsid w:val="003C09AB"/>
    <w:rsid w:val="003C39A7"/>
    <w:rsid w:val="003C5FFB"/>
    <w:rsid w:val="003D4C8C"/>
    <w:rsid w:val="003D5DE3"/>
    <w:rsid w:val="003F11AA"/>
    <w:rsid w:val="004073EB"/>
    <w:rsid w:val="00414201"/>
    <w:rsid w:val="00417BC3"/>
    <w:rsid w:val="00417CD8"/>
    <w:rsid w:val="00420430"/>
    <w:rsid w:val="00420544"/>
    <w:rsid w:val="00441E13"/>
    <w:rsid w:val="00451C7B"/>
    <w:rsid w:val="004550E0"/>
    <w:rsid w:val="00455AE7"/>
    <w:rsid w:val="004573C0"/>
    <w:rsid w:val="00473CAA"/>
    <w:rsid w:val="004820EC"/>
    <w:rsid w:val="00482675"/>
    <w:rsid w:val="004841B6"/>
    <w:rsid w:val="00485753"/>
    <w:rsid w:val="00490AA9"/>
    <w:rsid w:val="004936F5"/>
    <w:rsid w:val="004A665A"/>
    <w:rsid w:val="004A6C18"/>
    <w:rsid w:val="004F13E5"/>
    <w:rsid w:val="004F6771"/>
    <w:rsid w:val="00517FCD"/>
    <w:rsid w:val="00524676"/>
    <w:rsid w:val="005255A9"/>
    <w:rsid w:val="005313D4"/>
    <w:rsid w:val="005340F3"/>
    <w:rsid w:val="00535710"/>
    <w:rsid w:val="00536211"/>
    <w:rsid w:val="00540DEF"/>
    <w:rsid w:val="00553323"/>
    <w:rsid w:val="005667CC"/>
    <w:rsid w:val="00573B19"/>
    <w:rsid w:val="005904ED"/>
    <w:rsid w:val="005A19D2"/>
    <w:rsid w:val="005A4BB2"/>
    <w:rsid w:val="005B421C"/>
    <w:rsid w:val="005C5340"/>
    <w:rsid w:val="005C6169"/>
    <w:rsid w:val="005E09C8"/>
    <w:rsid w:val="005E470E"/>
    <w:rsid w:val="005E5FA7"/>
    <w:rsid w:val="005F0BD8"/>
    <w:rsid w:val="005F36E8"/>
    <w:rsid w:val="006015BF"/>
    <w:rsid w:val="00606795"/>
    <w:rsid w:val="00610992"/>
    <w:rsid w:val="006163F5"/>
    <w:rsid w:val="006303DE"/>
    <w:rsid w:val="00630E00"/>
    <w:rsid w:val="00642553"/>
    <w:rsid w:val="00644F44"/>
    <w:rsid w:val="00651DB4"/>
    <w:rsid w:val="0066257F"/>
    <w:rsid w:val="006751FD"/>
    <w:rsid w:val="00686E16"/>
    <w:rsid w:val="006905E7"/>
    <w:rsid w:val="006969E7"/>
    <w:rsid w:val="006A6CEA"/>
    <w:rsid w:val="006B3A5C"/>
    <w:rsid w:val="006D192C"/>
    <w:rsid w:val="006E2B40"/>
    <w:rsid w:val="006E70AF"/>
    <w:rsid w:val="006E761D"/>
    <w:rsid w:val="006F5BD1"/>
    <w:rsid w:val="006F6DDE"/>
    <w:rsid w:val="007026B1"/>
    <w:rsid w:val="00703236"/>
    <w:rsid w:val="00706E46"/>
    <w:rsid w:val="00707838"/>
    <w:rsid w:val="00710713"/>
    <w:rsid w:val="007114C8"/>
    <w:rsid w:val="00715EF7"/>
    <w:rsid w:val="007173AB"/>
    <w:rsid w:val="007268BD"/>
    <w:rsid w:val="00727663"/>
    <w:rsid w:val="00744976"/>
    <w:rsid w:val="00757252"/>
    <w:rsid w:val="00770DEF"/>
    <w:rsid w:val="00772DC0"/>
    <w:rsid w:val="00773ECB"/>
    <w:rsid w:val="00776651"/>
    <w:rsid w:val="00795167"/>
    <w:rsid w:val="00796144"/>
    <w:rsid w:val="007A286A"/>
    <w:rsid w:val="007A3299"/>
    <w:rsid w:val="007B01DD"/>
    <w:rsid w:val="007B4469"/>
    <w:rsid w:val="007C1810"/>
    <w:rsid w:val="007C19C0"/>
    <w:rsid w:val="007C4AC9"/>
    <w:rsid w:val="007C7241"/>
    <w:rsid w:val="007D4789"/>
    <w:rsid w:val="007E405D"/>
    <w:rsid w:val="007E5836"/>
    <w:rsid w:val="007E78E9"/>
    <w:rsid w:val="007F0F8F"/>
    <w:rsid w:val="007F1195"/>
    <w:rsid w:val="007F662F"/>
    <w:rsid w:val="008009A6"/>
    <w:rsid w:val="0080709C"/>
    <w:rsid w:val="00833849"/>
    <w:rsid w:val="00834040"/>
    <w:rsid w:val="00836431"/>
    <w:rsid w:val="0084363F"/>
    <w:rsid w:val="00845A61"/>
    <w:rsid w:val="00846C58"/>
    <w:rsid w:val="00850686"/>
    <w:rsid w:val="00860784"/>
    <w:rsid w:val="00860B89"/>
    <w:rsid w:val="008708F8"/>
    <w:rsid w:val="00884D75"/>
    <w:rsid w:val="00885AAC"/>
    <w:rsid w:val="00887021"/>
    <w:rsid w:val="00887B91"/>
    <w:rsid w:val="00895263"/>
    <w:rsid w:val="008A09D2"/>
    <w:rsid w:val="008A145C"/>
    <w:rsid w:val="008A4D7C"/>
    <w:rsid w:val="008B45B4"/>
    <w:rsid w:val="008B7573"/>
    <w:rsid w:val="008C5D11"/>
    <w:rsid w:val="008D3BA1"/>
    <w:rsid w:val="008D4ABB"/>
    <w:rsid w:val="008E2C1E"/>
    <w:rsid w:val="008E44DE"/>
    <w:rsid w:val="008E7768"/>
    <w:rsid w:val="008F2838"/>
    <w:rsid w:val="00907BE5"/>
    <w:rsid w:val="009141BE"/>
    <w:rsid w:val="00915D50"/>
    <w:rsid w:val="00930E64"/>
    <w:rsid w:val="00936399"/>
    <w:rsid w:val="009400AE"/>
    <w:rsid w:val="009417C1"/>
    <w:rsid w:val="00945758"/>
    <w:rsid w:val="0095753C"/>
    <w:rsid w:val="00957FA7"/>
    <w:rsid w:val="00977F74"/>
    <w:rsid w:val="0098108E"/>
    <w:rsid w:val="00984ECF"/>
    <w:rsid w:val="00985A7C"/>
    <w:rsid w:val="00993CEF"/>
    <w:rsid w:val="0099612C"/>
    <w:rsid w:val="009A355A"/>
    <w:rsid w:val="009A3ECF"/>
    <w:rsid w:val="009A75CD"/>
    <w:rsid w:val="009A7CD6"/>
    <w:rsid w:val="009B264B"/>
    <w:rsid w:val="009B2737"/>
    <w:rsid w:val="009B5B1C"/>
    <w:rsid w:val="009B6AF6"/>
    <w:rsid w:val="009B72DF"/>
    <w:rsid w:val="009C5A3B"/>
    <w:rsid w:val="009C7CB1"/>
    <w:rsid w:val="009D0C2B"/>
    <w:rsid w:val="009D2000"/>
    <w:rsid w:val="009D583B"/>
    <w:rsid w:val="009F20D1"/>
    <w:rsid w:val="009F32D4"/>
    <w:rsid w:val="009F64E2"/>
    <w:rsid w:val="009F65B4"/>
    <w:rsid w:val="00A101B4"/>
    <w:rsid w:val="00A13A57"/>
    <w:rsid w:val="00A149AF"/>
    <w:rsid w:val="00A1619F"/>
    <w:rsid w:val="00A16213"/>
    <w:rsid w:val="00A27E8C"/>
    <w:rsid w:val="00A31FB6"/>
    <w:rsid w:val="00A377B9"/>
    <w:rsid w:val="00A54C27"/>
    <w:rsid w:val="00A7169D"/>
    <w:rsid w:val="00A831F8"/>
    <w:rsid w:val="00A84880"/>
    <w:rsid w:val="00A87E78"/>
    <w:rsid w:val="00A90AF3"/>
    <w:rsid w:val="00A93F5B"/>
    <w:rsid w:val="00A9656A"/>
    <w:rsid w:val="00A969CA"/>
    <w:rsid w:val="00A9771E"/>
    <w:rsid w:val="00AA4DE0"/>
    <w:rsid w:val="00AA5534"/>
    <w:rsid w:val="00AB6A57"/>
    <w:rsid w:val="00AD5F4F"/>
    <w:rsid w:val="00AE0C82"/>
    <w:rsid w:val="00AE5A9D"/>
    <w:rsid w:val="00AF081C"/>
    <w:rsid w:val="00AF0D0E"/>
    <w:rsid w:val="00AF201D"/>
    <w:rsid w:val="00AF45E2"/>
    <w:rsid w:val="00B07B9A"/>
    <w:rsid w:val="00B157BC"/>
    <w:rsid w:val="00B17780"/>
    <w:rsid w:val="00B230F3"/>
    <w:rsid w:val="00B30537"/>
    <w:rsid w:val="00B36600"/>
    <w:rsid w:val="00B36E23"/>
    <w:rsid w:val="00B46FAD"/>
    <w:rsid w:val="00B50AA0"/>
    <w:rsid w:val="00B57E77"/>
    <w:rsid w:val="00B57F0A"/>
    <w:rsid w:val="00B63449"/>
    <w:rsid w:val="00B67623"/>
    <w:rsid w:val="00B70CF3"/>
    <w:rsid w:val="00B70EE1"/>
    <w:rsid w:val="00B71C36"/>
    <w:rsid w:val="00B80C34"/>
    <w:rsid w:val="00B82538"/>
    <w:rsid w:val="00B860CD"/>
    <w:rsid w:val="00B87F72"/>
    <w:rsid w:val="00B96524"/>
    <w:rsid w:val="00BA01F1"/>
    <w:rsid w:val="00BB205C"/>
    <w:rsid w:val="00BC46BE"/>
    <w:rsid w:val="00BC633A"/>
    <w:rsid w:val="00BC63F6"/>
    <w:rsid w:val="00BE0B4D"/>
    <w:rsid w:val="00BF1025"/>
    <w:rsid w:val="00BF31B7"/>
    <w:rsid w:val="00BF4390"/>
    <w:rsid w:val="00C0703B"/>
    <w:rsid w:val="00C141DD"/>
    <w:rsid w:val="00C2728F"/>
    <w:rsid w:val="00C3108A"/>
    <w:rsid w:val="00C33201"/>
    <w:rsid w:val="00C41212"/>
    <w:rsid w:val="00C46958"/>
    <w:rsid w:val="00C54113"/>
    <w:rsid w:val="00C61826"/>
    <w:rsid w:val="00C61ADB"/>
    <w:rsid w:val="00C848FA"/>
    <w:rsid w:val="00C967F6"/>
    <w:rsid w:val="00CA1E49"/>
    <w:rsid w:val="00CA5A11"/>
    <w:rsid w:val="00CA5A72"/>
    <w:rsid w:val="00CB6B00"/>
    <w:rsid w:val="00CD4BD2"/>
    <w:rsid w:val="00CD714F"/>
    <w:rsid w:val="00CE0504"/>
    <w:rsid w:val="00CE05AD"/>
    <w:rsid w:val="00CE066A"/>
    <w:rsid w:val="00D04236"/>
    <w:rsid w:val="00D04D68"/>
    <w:rsid w:val="00D15672"/>
    <w:rsid w:val="00D16CA1"/>
    <w:rsid w:val="00D1797F"/>
    <w:rsid w:val="00D21D54"/>
    <w:rsid w:val="00D2418B"/>
    <w:rsid w:val="00D241EB"/>
    <w:rsid w:val="00D26262"/>
    <w:rsid w:val="00D36331"/>
    <w:rsid w:val="00D36FFB"/>
    <w:rsid w:val="00D4196C"/>
    <w:rsid w:val="00D46D1E"/>
    <w:rsid w:val="00D56AA6"/>
    <w:rsid w:val="00D57438"/>
    <w:rsid w:val="00D63862"/>
    <w:rsid w:val="00D6787E"/>
    <w:rsid w:val="00D7540D"/>
    <w:rsid w:val="00D7558F"/>
    <w:rsid w:val="00D76520"/>
    <w:rsid w:val="00D829E0"/>
    <w:rsid w:val="00D86C54"/>
    <w:rsid w:val="00D8701A"/>
    <w:rsid w:val="00D87F39"/>
    <w:rsid w:val="00D92509"/>
    <w:rsid w:val="00DA336E"/>
    <w:rsid w:val="00DB142A"/>
    <w:rsid w:val="00DB4C5A"/>
    <w:rsid w:val="00DC1C25"/>
    <w:rsid w:val="00DC480D"/>
    <w:rsid w:val="00DD19F7"/>
    <w:rsid w:val="00DD2ACE"/>
    <w:rsid w:val="00DD33E8"/>
    <w:rsid w:val="00DE6C31"/>
    <w:rsid w:val="00E01A31"/>
    <w:rsid w:val="00E02B50"/>
    <w:rsid w:val="00E07F19"/>
    <w:rsid w:val="00E1612B"/>
    <w:rsid w:val="00E17B70"/>
    <w:rsid w:val="00E24A5E"/>
    <w:rsid w:val="00E36054"/>
    <w:rsid w:val="00E43DAE"/>
    <w:rsid w:val="00E60471"/>
    <w:rsid w:val="00E62FD7"/>
    <w:rsid w:val="00E64E69"/>
    <w:rsid w:val="00E70778"/>
    <w:rsid w:val="00E75F64"/>
    <w:rsid w:val="00E97D70"/>
    <w:rsid w:val="00EA6366"/>
    <w:rsid w:val="00EB52F3"/>
    <w:rsid w:val="00EB6530"/>
    <w:rsid w:val="00ED0C1A"/>
    <w:rsid w:val="00ED7A53"/>
    <w:rsid w:val="00EE23F2"/>
    <w:rsid w:val="00EE3686"/>
    <w:rsid w:val="00EE5A6A"/>
    <w:rsid w:val="00EF0362"/>
    <w:rsid w:val="00EF231C"/>
    <w:rsid w:val="00EF2A9D"/>
    <w:rsid w:val="00EF6BB2"/>
    <w:rsid w:val="00F02440"/>
    <w:rsid w:val="00F170EA"/>
    <w:rsid w:val="00F17A5B"/>
    <w:rsid w:val="00F23E50"/>
    <w:rsid w:val="00F370CF"/>
    <w:rsid w:val="00F373EB"/>
    <w:rsid w:val="00F41C96"/>
    <w:rsid w:val="00F42AC7"/>
    <w:rsid w:val="00F506DA"/>
    <w:rsid w:val="00F54FE5"/>
    <w:rsid w:val="00F55007"/>
    <w:rsid w:val="00F610E6"/>
    <w:rsid w:val="00F71D6D"/>
    <w:rsid w:val="00F77DEF"/>
    <w:rsid w:val="00F831C8"/>
    <w:rsid w:val="00F84E8C"/>
    <w:rsid w:val="00F91844"/>
    <w:rsid w:val="00FA1106"/>
    <w:rsid w:val="00FA4033"/>
    <w:rsid w:val="00FB3241"/>
    <w:rsid w:val="00FB3466"/>
    <w:rsid w:val="00FC0771"/>
    <w:rsid w:val="00FD3DC3"/>
    <w:rsid w:val="00FD59DC"/>
    <w:rsid w:val="00FE16DA"/>
    <w:rsid w:val="00FE19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hilangsci.net/2014/10/08/non-universality-of-word-classes-and-words-the-mid-20th-century-shi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hilangsci.net/2013/06/12/the-creation-of-parts-of-speech-for-chinese-translingual-practice-across-graeco-roman-and-sinitic-tra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70E285A-6D53-4033-A9D1-921FC05F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22</Pages>
  <Words>7930</Words>
  <Characters>45204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30</cp:revision>
  <dcterms:created xsi:type="dcterms:W3CDTF">2018-01-12T22:29:00Z</dcterms:created>
  <dcterms:modified xsi:type="dcterms:W3CDTF">2018-01-16T18:39:00Z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