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bookmarkStart w:id="0" w:name="_Ref503355087"/>
      <w:r>
        <w:t>Introduction</w:t>
      </w:r>
      <w:bookmarkEnd w:id="0"/>
    </w:p>
    <w:p w14:paraId="6CF3BCC6" w14:textId="7ECA4EE0"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4A6C18">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(or: A taxonomy of propositional acts)",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B57E77">
        <w:fldChar w:fldCharType="separate"/>
      </w:r>
      <w:r w:rsidR="00610992" w:rsidRPr="00610992">
        <w:rPr>
          <w:noProof/>
        </w:rPr>
        <w:t>(Hengeveld 1992:65; Croft 2001:66; van Lier 2016:197; Evan van Lier 2017:242)</w:t>
      </w:r>
      <w:r w:rsidR="00B57E77">
        <w:fldChar w:fldCharType="end"/>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1A70DA1E" w14:textId="71343A1E"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6119EADB"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56A4B321" w14:textId="59A689A9"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fldChar w:fldCharType="separate"/>
      </w:r>
      <w:r w:rsidR="008009A6" w:rsidRPr="00610992">
        <w:rPr>
          <w:noProof/>
          <w:lang w:val="fr-FR"/>
        </w:rPr>
        <w:t>(Du Bois et al. 2000:SBC001 251.37)</w:t>
      </w:r>
      <w:r>
        <w:fldChar w:fldCharType="end"/>
      </w:r>
    </w:p>
    <w:p w14:paraId="4D68248E"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43A9471D" w14:textId="31F66CAC"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fldChar w:fldCharType="separate"/>
      </w:r>
      <w:r w:rsidRPr="00610992">
        <w:rPr>
          <w:noProof/>
          <w:lang w:val="fr-FR"/>
        </w:rPr>
        <w:t>(Du Bois et al. 2000:SBC001 220.41)</w:t>
      </w:r>
      <w:r>
        <w:fldChar w:fldCharType="end"/>
      </w:r>
    </w:p>
    <w:p w14:paraId="3B28FB63" w14:textId="66169F8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55B3D847" w14:textId="058E3236"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6516193E" w14:textId="59581FA9"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64F8933C" w14:textId="596633F8"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09333F">
        <w:fldChar w:fldCharType="separate"/>
      </w:r>
      <w:r w:rsidR="0009333F" w:rsidRPr="0009333F">
        <w:rPr>
          <w:noProof/>
        </w:rPr>
        <w:t>(Evans &amp; Osada 2005:354)</w:t>
      </w:r>
      <w:r w:rsidR="0009333F">
        <w:fldChar w:fldCharType="end"/>
      </w:r>
    </w:p>
    <w:p w14:paraId="2F1EEBD4" w14:textId="131438A4"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09CD9A1D" w14:textId="24139124"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5C3CC84A" w14:textId="38D08D90"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09333F">
        <w:fldChar w:fldCharType="separate"/>
      </w:r>
      <w:r w:rsidR="0009333F" w:rsidRPr="0009333F">
        <w:rPr>
          <w:noProof/>
        </w:rPr>
        <w:t>(Evans &amp; Osada 2005:355)</w:t>
      </w:r>
      <w:r w:rsidR="0009333F">
        <w:fldChar w:fldCharType="end"/>
      </w:r>
    </w:p>
    <w:p w14:paraId="3A9AFCF1" w14:textId="5AD2D04A"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F2364">
        <w:t>.</w:t>
      </w:r>
    </w:p>
    <w:p w14:paraId="4B453D32" w14:textId="7BFCF770"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C61ADB">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C61ADB">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C61ADB">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4F364B0E" w14:textId="5CE49058"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4ED142EF" w14:textId="3264D187"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categorial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t>
      </w:r>
      <w:proofErr w:type="spellStart"/>
      <w:r w:rsidR="00D46D1E">
        <w:rPr>
          <w:rFonts w:cs="Times New Roman"/>
        </w:rPr>
        <w:t>a.k.a</w:t>
      </w:r>
      <w:proofErr w:type="spellEnd"/>
      <w:r w:rsidR="00D46D1E">
        <w:rPr>
          <w:rFonts w:cs="Times New Roman"/>
        </w:rPr>
        <w:t xml:space="preserve"> Nootka; </w:t>
      </w:r>
      <w:r w:rsidR="001B5863">
        <w:rPr>
          <w:rFonts w:cs="Times New Roman"/>
        </w:rPr>
        <w:t>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w:t>
      </w:r>
      <w:r w:rsidR="00B860CD">
        <w:rPr>
          <w:rFonts w:cs="Times New Roman"/>
        </w:rPr>
        <w:t xml:space="preserve"> status</w:t>
      </w:r>
      <w:r w:rsidR="002E02BA">
        <w:rPr>
          <w:rFonts w:cs="Times New Roman"/>
        </w:rPr>
        <w:t xml:space="preserve"> considerations contribute </w:t>
      </w:r>
      <w:proofErr w:type="gramStart"/>
      <w:r w:rsidR="002E02BA">
        <w:rPr>
          <w:rFonts w:cs="Times New Roman"/>
        </w:rPr>
        <w:t>to choice</w:t>
      </w:r>
      <w:proofErr w:type="gramEnd"/>
      <w:r w:rsidR="002E02BA">
        <w:rPr>
          <w:rFonts w:cs="Times New Roman"/>
        </w:rPr>
        <w:t xml:space="preserv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0D7D4029" w:rsidR="00E62FD7" w:rsidRDefault="00860784" w:rsidP="00E62FD7">
      <w:pPr>
        <w:pStyle w:val="ListParagraph"/>
        <w:numPr>
          <w:ilvl w:val="0"/>
          <w:numId w:val="10"/>
        </w:numPr>
        <w:rPr>
          <w:rFonts w:cs="Times New Roman"/>
        </w:rPr>
      </w:pPr>
      <w:r>
        <w:rPr>
          <w:rFonts w:cs="Times New Roman"/>
        </w:rPr>
        <w:t xml:space="preserve">Does the extent of lexical flexibility </w:t>
      </w:r>
      <w:proofErr w:type="gramStart"/>
      <w:r w:rsidR="002B69AE">
        <w:rPr>
          <w:rFonts w:cs="Times New Roman"/>
        </w:rPr>
        <w:t>observed</w:t>
      </w:r>
      <w:proofErr w:type="gramEnd"/>
      <w:r w:rsidR="002B69AE">
        <w:rPr>
          <w:rFonts w:cs="Times New Roman"/>
        </w:rPr>
        <w:t xml:space="preserve"> for</w:t>
      </w:r>
      <w:r>
        <w:rPr>
          <w:rFonts w:cs="Times New Roman"/>
        </w:rPr>
        <w:t xml:space="preserve"> a language correlate </w:t>
      </w:r>
      <w:r w:rsidR="00F370CF">
        <w:rPr>
          <w:rFonts w:cs="Times New Roman"/>
        </w:rPr>
        <w:t>with</w:t>
      </w:r>
      <w:r>
        <w:rPr>
          <w:rFonts w:cs="Times New Roman"/>
        </w:rPr>
        <w:t xml:space="preserve"> size of corpus / lexicon?</w:t>
      </w:r>
      <w:r w:rsidR="009141BE">
        <w:rPr>
          <w:rFonts w:cs="Times New Roman"/>
        </w:rPr>
        <w:t xml:space="preserve"> (Chapter 2)</w:t>
      </w:r>
      <w:r w:rsidR="00482675">
        <w:rPr>
          <w:rFonts w:cs="Times New Roman"/>
        </w:rPr>
        <w:t xml:space="preserve"> </w:t>
      </w:r>
    </w:p>
    <w:p w14:paraId="55BBFC7E" w14:textId="0D1DCB71" w:rsidR="00860784" w:rsidRDefault="00860784" w:rsidP="00E62FD7">
      <w:pPr>
        <w:pStyle w:val="ListParagraph"/>
        <w:numPr>
          <w:ilvl w:val="0"/>
          <w:numId w:val="10"/>
        </w:numPr>
        <w:rPr>
          <w:rFonts w:cs="Times New Roman"/>
        </w:rPr>
      </w:pPr>
      <w:r>
        <w:rPr>
          <w:rFonts w:cs="Times New Roman"/>
        </w:rPr>
        <w:lastRenderedPageBreak/>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9B264B">
        <w:rPr>
          <w:rFonts w:cs="Times New Roman"/>
        </w:rPr>
        <w:t>(Chapter 3)</w:t>
      </w:r>
      <w:r w:rsidR="00C2728F">
        <w:rPr>
          <w:rFonts w:cs="Times New Roman"/>
        </w:rPr>
        <w:t xml:space="preserve"> </w:t>
      </w:r>
    </w:p>
    <w:p w14:paraId="7D9EBC92" w14:textId="1AB4180D" w:rsidR="00860784" w:rsidRDefault="00860784" w:rsidP="00E62FD7">
      <w:pPr>
        <w:pStyle w:val="ListParagraph"/>
        <w:numPr>
          <w:ilvl w:val="0"/>
          <w:numId w:val="10"/>
        </w:numPr>
        <w:rPr>
          <w:rFonts w:cs="Times New Roman"/>
        </w:rPr>
      </w:pPr>
      <w:r>
        <w:rPr>
          <w:rFonts w:cs="Times New Roman"/>
        </w:rPr>
        <w:t xml:space="preserve">Does topicality correlate with degree of lexical flexibility? Does the type of semantic shift correlate with a lexeme’s topicality? </w:t>
      </w:r>
      <w:r w:rsidR="009B264B">
        <w:rPr>
          <w:rFonts w:cs="Times New Roman"/>
        </w:rPr>
        <w:t>(Chapter 4)</w:t>
      </w:r>
    </w:p>
    <w:p w14:paraId="4D521132" w14:textId="1EE8D864"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9B264B">
        <w:rPr>
          <w:rFonts w:cs="Times New Roman"/>
        </w:rPr>
        <w:t>(Chapter 5)</w:t>
      </w:r>
    </w:p>
    <w:p w14:paraId="311058C8" w14:textId="7AC71668"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9B264B">
        <w:rPr>
          <w:rFonts w:cs="Times New Roman"/>
        </w:rPr>
        <w:t>(Chapter 6)</w:t>
      </w:r>
    </w:p>
    <w:p w14:paraId="6999E974" w14:textId="64279FD7"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3D4C8C">
        <w:rPr>
          <w:rFonts w:cs="Times New Roman"/>
        </w:rPr>
        <w:fldChar w:fldCharType="begin"/>
      </w:r>
      <w:r w:rsidR="003D4C8C">
        <w:rPr>
          <w:rFonts w:cs="Times New Roman"/>
        </w:rPr>
        <w:instrText xml:space="preserve"> REF _Ref503178933 \r \h </w:instrText>
      </w:r>
      <w:r w:rsidR="003D4C8C">
        <w:rPr>
          <w:rFonts w:cs="Times New Roman"/>
        </w:rPr>
      </w:r>
      <w:r w:rsidR="003D4C8C">
        <w:rPr>
          <w:rFonts w:cs="Times New Roman"/>
        </w:rPr>
        <w:fldChar w:fldCharType="separate"/>
      </w:r>
      <w:r w:rsidR="003D4C8C">
        <w:rPr>
          <w:rFonts w:cs="Times New Roman"/>
        </w:rPr>
        <w:t>4</w:t>
      </w:r>
      <w:r w:rsidR="003D4C8C">
        <w:rPr>
          <w:rFonts w:cs="Times New Roman"/>
        </w:rPr>
        <w:fldChar w:fldCharType="end"/>
      </w:r>
      <w:r w:rsidR="003D4C8C">
        <w:rPr>
          <w:rFonts w:cs="Times New Roman"/>
        </w:rPr>
        <w:t>)</w:t>
      </w:r>
      <w:r>
        <w:rPr>
          <w:rFonts w:cs="Times New Roman"/>
        </w:rPr>
        <w:t>.</w:t>
      </w:r>
    </w:p>
    <w:p w14:paraId="28A4854E" w14:textId="7DF43326" w:rsidR="00341C59" w:rsidRDefault="00DE6C31" w:rsidP="00EE5A6A">
      <w:pPr>
        <w:pStyle w:val="Heading1"/>
      </w:pPr>
      <w:bookmarkStart w:id="4" w:name="_Ref502225471"/>
      <w:r>
        <w:t>Background</w:t>
      </w:r>
      <w:bookmarkEnd w:id="4"/>
    </w:p>
    <w:p w14:paraId="1C5B4320" w14:textId="2E39A963"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7524097D" w14:textId="30D7A654" w:rsidR="00EF2A9D" w:rsidRDefault="00EF2A9D" w:rsidP="00EF2A9D">
      <w:pPr>
        <w:pStyle w:val="Heading2"/>
      </w:pPr>
      <w:r>
        <w:t>Approaches to Lexical Categorization</w:t>
      </w:r>
    </w:p>
    <w:p w14:paraId="30A1FFD7" w14:textId="45E81F98"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w:t>
      </w:r>
      <w:proofErr w:type="spellStart"/>
      <w:r>
        <w:t>Thrax</w:t>
      </w:r>
      <w:proofErr w:type="spellEnd"/>
      <w:r>
        <w:t xml:space="preserve">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0F44E4">
        <w:fldChar w:fldCharType="separate"/>
      </w:r>
      <w:r w:rsidR="000F44E4" w:rsidRPr="000F44E4">
        <w:rPr>
          <w:noProof/>
        </w:rPr>
        <w:t>(Rauh 2010:17–20)</w:t>
      </w:r>
      <w:r w:rsidR="000F44E4">
        <w:fldChar w:fldCharType="end"/>
      </w:r>
      <w:r w:rsidR="000F44E4">
        <w:t>.</w:t>
      </w:r>
    </w:p>
    <w:p w14:paraId="7510E51B" w14:textId="2A550645"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fldChar w:fldCharType="separate"/>
      </w:r>
      <w:r w:rsidRPr="00023D6E">
        <w:rPr>
          <w:noProof/>
        </w:rPr>
        <w:t>(2013)</w:t>
      </w:r>
      <w:r>
        <w:fldChar w:fldCharType="end"/>
      </w:r>
      <w:r>
        <w:t xml:space="preserve">) were described using both Dionysius’ eight categories (with some variation) and, importantly, his method of identifying those categories on the basis of primarily morphological criteria </w:t>
      </w:r>
      <w:r>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793C8004" w14:textId="7946D271" w:rsidR="00070468" w:rsidRDefault="002D4762" w:rsidP="00CD4BD2">
      <w:r w:rsidRPr="002D4762">
        <w:t xml:space="preserve">The American structuralists in the tradition of Franz Boas questioned this assumption in a programmatic and comprehensive way. Writing on grammatical rather than lexical categories, </w:t>
      </w:r>
      <w:r w:rsidRPr="002D4762">
        <w:lastRenderedPageBreak/>
        <w:t>Boas states, “Grammarians who have studied the languages of Europe and western Asia have developed a system of categories which we are inclined to look for in every language”</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fldChar w:fldCharType="separate"/>
      </w:r>
      <w:r w:rsidRPr="002D4762">
        <w:rPr>
          <w:noProof/>
        </w:rPr>
        <w:t>(Boas 1911:35)</w:t>
      </w:r>
      <w:r>
        <w:fldChar w:fldCharType="end"/>
      </w:r>
      <w:r w:rsidRPr="002D4762">
        <w:t>. He concludes that this endeavor is a folly, and that “in a discussion of the characteristics of various languages different fundamental categories will be found”</w:t>
      </w:r>
      <w:r>
        <w:t xml:space="preserv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fldChar w:fldCharType="separate"/>
      </w:r>
      <w:r w:rsidRPr="002D4762">
        <w:rPr>
          <w:noProof/>
        </w:rPr>
        <w:t>(Boas 1911:43)</w:t>
      </w:r>
      <w:r>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fldChar w:fldCharType="separate"/>
      </w:r>
      <w:r w:rsidRPr="002D4762">
        <w:rPr>
          <w:noProof/>
        </w:rPr>
        <w:t>(Sapir 1921:125)</w:t>
      </w:r>
      <w:r>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3C5FFB">
        <w:fldChar w:fldCharType="separate"/>
      </w:r>
      <w:r w:rsidR="003C5FFB" w:rsidRPr="003C5FFB">
        <w:rPr>
          <w:noProof/>
        </w:rPr>
        <w:t>(Rauh 2010:33)</w:t>
      </w:r>
      <w:r w:rsidR="003C5FFB">
        <w:fldChar w:fldCharType="end"/>
      </w:r>
      <w:r w:rsidRPr="002D4762">
        <w:t>.</w:t>
      </w:r>
    </w:p>
    <w:p w14:paraId="0B6CCAED" w14:textId="00AE6D5B"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EF6BB2">
        <w:fldChar w:fldCharType="separate"/>
      </w:r>
      <w:r w:rsidR="00EF6BB2" w:rsidRPr="00EF6BB2">
        <w:rPr>
          <w:noProof/>
        </w:rPr>
        <w:t>(Harris 1951:5)</w:t>
      </w:r>
      <w:r w:rsidR="00EF6BB2">
        <w:fldChar w:fldCharType="end"/>
      </w:r>
      <w:r w:rsidRPr="00070468">
        <w:t xml:space="preserve">, constituted a major advance in the typological study of parts of speech, and essentially became the sole method of syntactic analysis in modern linguistics </w:t>
      </w:r>
      <w:r w:rsidR="00EF6BB2">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EF6BB2">
        <w:fldChar w:fldCharType="separate"/>
      </w:r>
      <w:r w:rsidR="00EF6BB2" w:rsidRPr="00EF6BB2">
        <w:rPr>
          <w:noProof/>
        </w:rPr>
        <w:t>(Croft 2001:11)</w:t>
      </w:r>
      <w:r w:rsidR="00EF6BB2">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3EA5E319" w14:textId="6ACFCF3E" w:rsidR="00BE0B4D" w:rsidRDefault="00BE0B4D" w:rsidP="00351494">
      <w:r w:rsidRPr="00BE0B4D">
        <w:t>A partial solution to this problem was the recognition, established in a series of studies by Eleanor Rosch</w:t>
      </w:r>
      <w:r>
        <w:t xml:space="preserve"> </w:t>
      </w:r>
      <w:r>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fldChar w:fldCharType="separate"/>
      </w:r>
      <w:r w:rsidRPr="00BE0B4D">
        <w:rPr>
          <w:noProof/>
        </w:rPr>
        <w:t>(1973a; 1973b; 1975; Rosch &amp; Mervis 1975; Rosch et al. 1976; Rosch 1978)</w:t>
      </w:r>
      <w:r>
        <w:fldChar w:fldCharType="end"/>
      </w:r>
      <w:r w:rsidR="00351494">
        <w:t xml:space="preserve"> </w:t>
      </w:r>
      <w:r w:rsidRPr="00BE0B4D">
        <w:t xml:space="preserve">and popularized among linguists by Lakoff </w:t>
      </w:r>
      <w:r w:rsidR="00351494">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351494">
        <w:fldChar w:fldCharType="separate"/>
      </w:r>
      <w:r w:rsidR="00351494" w:rsidRPr="00351494">
        <w:rPr>
          <w:noProof/>
        </w:rPr>
        <w:t>(1987)</w:t>
      </w:r>
      <w:r w:rsidR="00351494">
        <w:fldChar w:fldCharType="end"/>
      </w:r>
      <w:r w:rsidRPr="00BE0B4D">
        <w:t xml:space="preserve"> and Taylor</w:t>
      </w:r>
      <w:r w:rsidR="00351494">
        <w:t xml:space="preserve"> </w:t>
      </w:r>
      <w:r w:rsidR="00351494">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351494">
        <w:fldChar w:fldCharType="separate"/>
      </w:r>
      <w:r w:rsidR="00351494" w:rsidRPr="00351494">
        <w:rPr>
          <w:noProof/>
        </w:rPr>
        <w:t>(1989</w:t>
      </w:r>
      <w:r w:rsidR="00351494">
        <w:rPr>
          <w:noProof/>
        </w:rPr>
        <w:t xml:space="preserve"> [2003]</w:t>
      </w:r>
      <w:r w:rsidR="00351494" w:rsidRPr="00351494">
        <w:rPr>
          <w:noProof/>
        </w:rPr>
        <w:t>)</w:t>
      </w:r>
      <w:r w:rsidR="00351494">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036CB3">
        <w:fldChar w:fldCharType="separate"/>
      </w:r>
      <w:r w:rsidR="00036CB3" w:rsidRPr="00036CB3">
        <w:rPr>
          <w:noProof/>
        </w:rPr>
        <w:t>(Rauh 2010:7)</w:t>
      </w:r>
      <w:r w:rsidR="00036CB3">
        <w:fldChar w:fldCharType="end"/>
      </w:r>
      <w:r w:rsidRPr="00BE0B4D">
        <w:t>, the prototype approach did not really solve the essential problems of lexical categorization, namely, how to identify them, and their crosslinguistic status if any.</w:t>
      </w:r>
    </w:p>
    <w:p w14:paraId="2966CFF4" w14:textId="31420DEF" w:rsidR="00F506DA" w:rsidRDefault="00F506DA" w:rsidP="00351494">
      <w:r w:rsidRPr="00F506DA">
        <w:t xml:space="preserve">Recognizing this difficulty, </w:t>
      </w:r>
      <w:r>
        <w:t xml:space="preserve">Croft </w:t>
      </w:r>
      <w:r>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fldChar w:fldCharType="separate"/>
      </w:r>
      <w:r w:rsidRPr="00F506DA">
        <w:rPr>
          <w:noProof/>
        </w:rPr>
        <w:t>(2000; 2001:29–47)</w:t>
      </w:r>
      <w:r>
        <w:fldChar w:fldCharType="end"/>
      </w:r>
      <w:r w:rsidRPr="00F506DA">
        <w:t xml:space="preserve"> provides a detailed critique of the distributional method and its implications, and utilizes prototype theory in offering a </w:t>
      </w:r>
      <w:r w:rsidRPr="00F506DA">
        <w:lastRenderedPageBreak/>
        <w:t xml:space="preserve">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344E8B73"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4E1D55F3" w14:textId="35DBBAD9"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113D04">
        <w:fldChar w:fldCharType="separate"/>
      </w:r>
      <w:r w:rsidR="00113D04" w:rsidRPr="00113D04">
        <w:rPr>
          <w:noProof/>
        </w:rPr>
        <w:t>(Croft 2001:41)</w:t>
      </w:r>
      <w:r w:rsidR="00113D04">
        <w:fldChar w:fldCharType="end"/>
      </w:r>
    </w:p>
    <w:p w14:paraId="71757165" w14:textId="407DF644"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5AB8DD26" w14:textId="77777777" w:rsidR="00291257" w:rsidRDefault="000314AB" w:rsidP="000314AB">
      <w:r w:rsidRPr="000314AB">
        <w:t xml:space="preserve">For Croft, what exists in the grammar of </w:t>
      </w:r>
      <w:proofErr w:type="gramStart"/>
      <w:r w:rsidRPr="000314AB">
        <w:t>particular languages</w:t>
      </w:r>
      <w:proofErr w:type="gramEnd"/>
      <w:r w:rsidRPr="000314AB">
        <w:t xml:space="preserve">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F831C8">
        <w:fldChar w:fldCharType="separate"/>
      </w:r>
      <w:r w:rsidR="00F831C8" w:rsidRPr="00F831C8">
        <w:rPr>
          <w:noProof/>
        </w:rPr>
        <w:t>(Croft 2002:87–99)</w:t>
      </w:r>
      <w:r w:rsidR="00F831C8">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w:t>
      </w:r>
      <w:r w:rsidR="00BF4390" w:rsidRPr="00AF081C">
        <w:lastRenderedPageBreak/>
        <w:t>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6F5BD1">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6F5BD1">
        <w:fldChar w:fldCharType="separate"/>
      </w:r>
      <w:r w:rsidR="006F5BD1" w:rsidRPr="006F5BD1">
        <w:rPr>
          <w:noProof/>
        </w:rPr>
        <w:t>(Croft 2001:89)</w:t>
      </w:r>
      <w:r w:rsidR="006F5BD1">
        <w:fldChar w:fldCharType="end"/>
      </w:r>
      <w:r w:rsidR="006F5BD1">
        <w:t>.</w:t>
      </w:r>
    </w:p>
    <w:p w14:paraId="499BD925" w14:textId="0A17970D"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5136D7A4" w14:textId="152044B8"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E70778"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647815" w14:textId="760A69DD" w:rsidR="00EF2A9D" w:rsidRDefault="00EF2A9D" w:rsidP="00EF2A9D">
      <w:pPr>
        <w:pStyle w:val="Heading2"/>
      </w:pPr>
      <w:r>
        <w:t>Approaches to Lexical Flexibility</w:t>
      </w:r>
    </w:p>
    <w:p w14:paraId="088C4643" w14:textId="787EB8B0"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fldChar w:fldCharType="separate"/>
      </w:r>
      <w:r w:rsidR="009F20D1" w:rsidRPr="009F20D1">
        <w:rPr>
          <w:noProof/>
        </w:rPr>
        <w:t>(Boas 1911; Sapir 1921; Kuipers 1968; Jacobsen 1979; Kinkade 1983; Sadock 1999)</w:t>
      </w:r>
      <w:r>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6A7198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fldChar w:fldCharType="separate"/>
      </w:r>
      <w:r w:rsidRPr="001D0716">
        <w:rPr>
          <w:noProof/>
        </w:rPr>
        <w:t>(Dixon 2004; Floyd 2011; Palmer 2017)</w:t>
      </w:r>
      <w:r>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795167">
        <w:fldChar w:fldCharType="separate"/>
      </w:r>
      <w:r w:rsidR="00795167" w:rsidRPr="00795167">
        <w:rPr>
          <w:noProof/>
        </w:rPr>
        <w:t>(cf. Croft 2001)</w:t>
      </w:r>
      <w:r w:rsidR="00795167">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44D7EDD3" w14:textId="75883D5D"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610992">
        <w:fldChar w:fldCharType="separate"/>
      </w:r>
      <w:r w:rsidR="00610992" w:rsidRPr="00610992">
        <w:rPr>
          <w:noProof/>
        </w:rPr>
        <w:t>(Rijkhoff &amp; van Lier 2013; Eva van Lier 2017; Vapnarsky &amp; Veneziano 2017b)</w:t>
      </w:r>
      <w:r w:rsidR="00610992">
        <w:fldChar w:fldCharType="end"/>
      </w:r>
      <w:r w:rsidR="006015BF">
        <w:t>.</w:t>
      </w:r>
    </w:p>
    <w:p w14:paraId="7C57B47B" w14:textId="426BE5A5" w:rsidR="006015BF" w:rsidRDefault="006015BF" w:rsidP="006015BF">
      <w:r>
        <w:t xml:space="preserve">In stark contrast to this first approach, some have embraced the existence of flexible categories and argued extensively for their existence </w:t>
      </w:r>
      <w:r>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fldChar w:fldCharType="separate"/>
      </w:r>
      <w:r w:rsidR="00B70CF3" w:rsidRPr="00B70CF3">
        <w:rPr>
          <w:noProof/>
        </w:rPr>
        <w:t>(Kuipers 1968; Kinkade 1983; Hengeveld 1992; Broschart 1997; Gil 2005; Hengeveld &amp; Rijkhoff 2005; Luuk 2010; van Lier &amp; Rijkhoff 2013)</w:t>
      </w:r>
      <w:r>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BC633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BC633A">
        <w:fldChar w:fldCharType="separate"/>
      </w:r>
      <w:r w:rsidR="00BC633A" w:rsidRPr="00BC633A">
        <w:rPr>
          <w:noProof/>
        </w:rPr>
        <w:t>(Hengeveld 1992)</w:t>
      </w:r>
      <w:r w:rsidR="00BC633A">
        <w:fldChar w:fldCharType="end"/>
      </w:r>
      <w:r w:rsidR="00BC633A">
        <w:t xml:space="preserve"> or </w:t>
      </w:r>
      <w:r w:rsidR="00BC633A" w:rsidRPr="00BC633A">
        <w:rPr>
          <w:rStyle w:val="Definition"/>
        </w:rPr>
        <w:t>noun/flexible</w:t>
      </w:r>
      <w:r w:rsidR="00BC633A">
        <w:t xml:space="preserve"> </w:t>
      </w:r>
      <w:r w:rsidR="00BC633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BC633A">
        <w:fldChar w:fldCharType="separate"/>
      </w:r>
      <w:r w:rsidR="00BC633A" w:rsidRPr="00BC633A">
        <w:rPr>
          <w:noProof/>
        </w:rPr>
        <w:t>(Luuk 2010)</w:t>
      </w:r>
      <w:r w:rsidR="00BC633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4055C8C0" w14:textId="01B68404"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fldChar w:fldCharType="separate"/>
      </w:r>
      <w:r w:rsidRPr="00985A7C">
        <w:rPr>
          <w:noProof/>
        </w:rPr>
        <w:t>(2001:65–75)</w:t>
      </w:r>
      <w:r>
        <w:fldChar w:fldCharType="end"/>
      </w:r>
      <w:r>
        <w:t xml:space="preserve"> and Evans &amp; Osada </w:t>
      </w:r>
      <w:r>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fldChar w:fldCharType="separate"/>
      </w:r>
      <w:r w:rsidRPr="00985A7C">
        <w:rPr>
          <w:noProof/>
        </w:rPr>
        <w:t>(2005)</w:t>
      </w:r>
      <w:r>
        <w:fldChar w:fldCharType="end"/>
      </w:r>
      <w:r>
        <w:t xml:space="preserve">, for example, </w:t>
      </w:r>
      <w:r w:rsidRPr="00985A7C">
        <w:t>criticize Hengeveld’s notion of flexible categories</w:t>
      </w:r>
      <w:r>
        <w:t xml:space="preserve"> </w:t>
      </w:r>
      <w:r>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fldChar w:fldCharType="separate"/>
      </w:r>
      <w:r w:rsidRPr="00985A7C">
        <w:rPr>
          <w:noProof/>
        </w:rPr>
        <w:t>(Hengeveld 1992; Hengeveld &amp; Rijkhoff 2005)</w:t>
      </w:r>
      <w:r>
        <w:fldChar w:fldCharType="end"/>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fldChar w:fldCharType="begin" w:fldLock="1"/>
      </w:r>
      <w:r w:rsidR="00214730">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"(Mithun 1999; Mithun 2000; Mithun 2017)", "plainTextFormattedCitation" : "(Mithun 1999; Mithun 2000; Mithun 2017)", "previouslyFormattedCitation" : "(Mithun 1999; Mithun 2000; Mithun 2017)" }, "properties" : {  }, "schema" : "https://github.com/citation-style-language/schema/raw/master/csl-citation.json" }</w:instrText>
      </w:r>
      <w:r>
        <w:fldChar w:fldCharType="separate"/>
      </w:r>
      <w:r w:rsidR="004A6C18" w:rsidRPr="004A6C18">
        <w:rPr>
          <w:noProof/>
        </w:rPr>
        <w:t>(Mithun 1999; Mithun 2000; Mithun 2017)</w:t>
      </w:r>
      <w:r>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20888832" w14:textId="32DAD272"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fldChar w:fldCharType="separate"/>
      </w:r>
      <w:r w:rsidRPr="00FE16DA">
        <w:rPr>
          <w:noProof/>
        </w:rPr>
        <w:t>(Hopper &amp; Thompson 1984; Broschart 1997; Farrell 2001; Arad 2003; Don &amp; van Lier 2003)</w:t>
      </w:r>
      <w:r>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6B3A5C">
        <w:fldChar w:fldCharType="separate"/>
      </w:r>
      <w:r w:rsidR="006B3A5C" w:rsidRPr="006B3A5C">
        <w:rPr>
          <w:noProof/>
        </w:rPr>
        <w:t>(Farrell 2001; Hengeveld, Rijkhoff &amp; Siewierska 2004; Hengeveld &amp; Rijkhoff 2005; McGregor 2013)</w:t>
      </w:r>
      <w:r w:rsidR="006B3A5C">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6B3A5C">
        <w:fldChar w:fldCharType="begin" w:fldLock="1"/>
      </w:r>
      <w:r w:rsidR="00214730">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"http://www.mendeley.com/documents/?uuid=6f566f49-9f2e-47f4-a34f-716045ebf783" ] } ], "mendeley" : { "formattedCitation" : "(Croft 2001; Evans &amp; Osada 2005; Mithun 2017)", "plainTextFormattedCitation" : "(Croft 2001; Evans &amp; Osada 2005; Mithun 2017)", "previouslyFormattedCitation" : "(Croft 2001; Evans &amp; Osada 2005; Mithun 2017)" }, "properties" : {  }, "schema" : "https://github.com/citation-style-language/schema/raw/master/csl-citation.json" }</w:instrText>
      </w:r>
      <w:r w:rsidR="006B3A5C">
        <w:fldChar w:fldCharType="separate"/>
      </w:r>
      <w:r w:rsidR="004A6C18" w:rsidRPr="004A6C18">
        <w:rPr>
          <w:noProof/>
        </w:rPr>
        <w:t>(Croft 2001; Evans &amp; Osada 2005; Mithun 2017)</w:t>
      </w:r>
      <w:r w:rsidR="006B3A5C">
        <w:fldChar w:fldCharType="end"/>
      </w:r>
      <w:r w:rsidR="006B3A5C">
        <w:t>.</w:t>
      </w:r>
    </w:p>
    <w:p w14:paraId="473BCB62" w14:textId="1BA469BC" w:rsidR="00630E00" w:rsidRPr="00C33201" w:rsidRDefault="00630E00" w:rsidP="0066257F">
      <w:pPr>
        <w:rPr>
          <w:rFonts w:ascii="Charis SIL" w:hAnsi="Charis SIL" w:cs="Charis SIL"/>
        </w:rPr>
      </w:pPr>
      <w:proofErr w:type="gramStart"/>
      <w:r>
        <w:t>If</w:t>
      </w:r>
      <w:proofErr w:type="gramEnd"/>
      <w:r>
        <w:t xml:space="preserve">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71E3991" w14:textId="2351A073" w:rsidR="00EF2A9D" w:rsidRDefault="00147AB1" w:rsidP="00EF2A9D">
      <w:pPr>
        <w:pStyle w:val="Heading2"/>
      </w:pPr>
      <w:r>
        <w:t>Functional Motivations for Lexical Flexibility</w:t>
      </w:r>
    </w:p>
    <w:p w14:paraId="0D851254" w14:textId="5E80A4EA"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3EE75444" w14:textId="5C474154"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fldChar w:fldCharType="separate"/>
      </w:r>
      <w:r w:rsidR="002E602A" w:rsidRPr="002E602A">
        <w:rPr>
          <w:noProof/>
        </w:rPr>
        <w:t>(Sapir 1921:117–119; Givón 1979:320–321; Lyons 1977:442–447)</w:t>
      </w:r>
      <w:r>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3614A4">
        <w:fldChar w:fldCharType="separate"/>
      </w:r>
      <w:r w:rsidR="003614A4" w:rsidRPr="003614A4">
        <w:rPr>
          <w:noProof/>
        </w:rPr>
        <w:t>(1984:708)</w:t>
      </w:r>
      <w:r w:rsidR="003614A4">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B71C36">
        <w:fldChar w:fldCharType="separate"/>
      </w:r>
      <w:r w:rsidR="00B71C36" w:rsidRPr="00B71C36">
        <w:rPr>
          <w:noProof/>
        </w:rPr>
        <w:t>(1989)</w:t>
      </w:r>
      <w:r w:rsidR="00B71C36">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34A2270E" w14:textId="542A0745"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6BE090E4" w14:textId="1F061732"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w:t>
      </w:r>
      <w:proofErr w:type="spellStart"/>
      <w:r>
        <w:t>verbhood</w:t>
      </w:r>
      <w:proofErr w:type="spellEnd"/>
      <w:r>
        <w:t xml:space="preserve"> is forced on them by their discourse functions. To the extent that forms can be said to have an a-priori existence outside of discourse, they are characterizable as </w:t>
      </w:r>
      <w:proofErr w:type="spellStart"/>
      <w:r w:rsidRPr="002B21B1">
        <w:rPr>
          <w:smallCaps/>
        </w:rPr>
        <w:t>acategorial</w:t>
      </w:r>
      <w:proofErr w:type="spellEnd"/>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 xml:space="preserve">of receiving all morphology appropriate for both N’s and V’s. This suggests that the continua which in principle begin with </w:t>
      </w:r>
      <w:proofErr w:type="spellStart"/>
      <w:r>
        <w:t>acategoriality</w:t>
      </w:r>
      <w:proofErr w:type="spellEnd"/>
      <w:r>
        <w:t xml:space="preserve">, and which end with fully implemented nounhood or fully implemented </w:t>
      </w:r>
      <w:proofErr w:type="spellStart"/>
      <w:r>
        <w:t>verbhood</w:t>
      </w:r>
      <w:proofErr w:type="spellEnd"/>
      <w:r>
        <w:t>,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6B65CDE3" w14:textId="33BACA0A"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6D192C">
        <w:fldChar w:fldCharType="separate"/>
      </w:r>
      <w:r w:rsidR="006D192C" w:rsidRPr="006D192C">
        <w:rPr>
          <w:noProof/>
        </w:rPr>
        <w:t>(Hopper &amp; Thompson 1984:747)</w:t>
      </w:r>
      <w:r w:rsidR="006D192C">
        <w:fldChar w:fldCharType="end"/>
      </w:r>
    </w:p>
    <w:p w14:paraId="1FE5AB71" w14:textId="078978C2" w:rsidR="006D192C" w:rsidRDefault="006D192C" w:rsidP="006D192C">
      <w:pPr>
        <w:pStyle w:val="NoSpacing"/>
      </w:pPr>
      <w:proofErr w:type="gramStart"/>
      <w:r w:rsidRPr="006D192C">
        <w:t>In essence, Hopper &amp; Thompson</w:t>
      </w:r>
      <w:proofErr w:type="gramEnd"/>
      <w:r w:rsidRPr="006D192C">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3FEA4EF8" w14:textId="734B2167" w:rsidR="006D192C" w:rsidRDefault="006D192C" w:rsidP="006D192C">
      <w:r w:rsidRPr="006D192C">
        <w:t>A similar point is made by Nakayma</w:t>
      </w:r>
      <w:r>
        <w:t xml:space="preserve">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fldChar w:fldCharType="separate"/>
      </w:r>
      <w:r w:rsidRPr="006D192C">
        <w:rPr>
          <w:noProof/>
        </w:rPr>
        <w:t>(2002)</w:t>
      </w:r>
      <w:r>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B30537">
        <w:fldChar w:fldCharType="separate"/>
      </w:r>
      <w:r w:rsidR="00B30537" w:rsidRPr="00B30537">
        <w:rPr>
          <w:noProof/>
        </w:rPr>
        <w:t>(Nakayama 2002:57)</w:t>
      </w:r>
      <w:r w:rsidR="00B30537">
        <w:fldChar w:fldCharType="end"/>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31A57321" w14:textId="2D99F1FF"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5CDC4E5E" w14:textId="4639E0DD" w:rsidR="00FD59DC" w:rsidRDefault="00DE6C31" w:rsidP="009C5A3B">
      <w:pPr>
        <w:pStyle w:val="Heading1"/>
      </w:pPr>
      <w:bookmarkStart w:id="5" w:name="_Ref503355089"/>
      <w:r>
        <w:lastRenderedPageBreak/>
        <w:t>Data &amp; Methods</w:t>
      </w:r>
      <w:bookmarkEnd w:id="5"/>
    </w:p>
    <w:p w14:paraId="35745B0C" w14:textId="08A5CBD2" w:rsidR="005255A9" w:rsidRDefault="005255A9" w:rsidP="005255A9">
      <w:r>
        <w:t>This section discusses the language sample that will be used for this research, and the way in which lexical flexibility will be operationalized quantitatively for comparison with other variables.</w:t>
      </w:r>
    </w:p>
    <w:p w14:paraId="5B88EDD6" w14:textId="7EB743D9" w:rsidR="005255A9" w:rsidRDefault="005255A9" w:rsidP="005255A9">
      <w:r>
        <w:t>Th</w:t>
      </w:r>
      <w:r w:rsidR="00A54C27">
        <w:t>e</w:t>
      </w:r>
      <w:r>
        <w:t xml:space="preserve"> language sample for this dissertation will consist in a small number of typologically diverse languages selected </w:t>
      </w:r>
      <w:proofErr w:type="gramStart"/>
      <w:r>
        <w:t>on the basis of</w:t>
      </w:r>
      <w:proofErr w:type="gramEnd"/>
      <w:r>
        <w:t xml:space="preserve"> the following criteria:</w:t>
      </w:r>
    </w:p>
    <w:p w14:paraId="0BDADBD5" w14:textId="7ECC1527" w:rsidR="005255A9" w:rsidRDefault="005255A9" w:rsidP="005255A9">
      <w:pPr>
        <w:pStyle w:val="ListParagraph"/>
        <w:numPr>
          <w:ilvl w:val="0"/>
          <w:numId w:val="10"/>
        </w:numPr>
        <w:ind w:left="720"/>
      </w:pPr>
      <w:r>
        <w:t>relevance to (and prominence in) the literature and debates on lexical flexibility</w:t>
      </w:r>
    </w:p>
    <w:p w14:paraId="76547CD0" w14:textId="74F5A648" w:rsidR="005255A9" w:rsidRDefault="005255A9" w:rsidP="005255A9">
      <w:pPr>
        <w:pStyle w:val="ListParagraph"/>
        <w:numPr>
          <w:ilvl w:val="0"/>
          <w:numId w:val="10"/>
        </w:numPr>
        <w:ind w:left="720"/>
      </w:pPr>
      <w:r>
        <w:t>geographic and typological diversity (e.g. both isolating and polysynthetic)</w:t>
      </w:r>
    </w:p>
    <w:p w14:paraId="0EF90E2C" w14:textId="27950E17" w:rsidR="005255A9" w:rsidRDefault="005255A9" w:rsidP="005255A9">
      <w:pPr>
        <w:pStyle w:val="ListParagraph"/>
        <w:numPr>
          <w:ilvl w:val="0"/>
          <w:numId w:val="10"/>
        </w:numPr>
        <w:ind w:left="720"/>
      </w:pPr>
      <w:r>
        <w:t>availability of extensive lexical data and corpora</w:t>
      </w:r>
    </w:p>
    <w:p w14:paraId="1C4A59CE" w14:textId="42D99D53" w:rsidR="005255A9" w:rsidRDefault="005255A9" w:rsidP="005255A9">
      <w:pPr>
        <w:pStyle w:val="ListParagraph"/>
        <w:numPr>
          <w:ilvl w:val="0"/>
          <w:numId w:val="10"/>
        </w:numPr>
        <w:ind w:left="720"/>
      </w:pPr>
      <w:r>
        <w:t>differences in the purported degree of lexical flexibility (e.g. both rigid and flexible languages)</w:t>
      </w:r>
    </w:p>
    <w:p w14:paraId="317556F7" w14:textId="0BB6BAC6" w:rsidR="005255A9" w:rsidRDefault="006F6DDE" w:rsidP="005255A9">
      <w:pPr>
        <w:ind w:firstLine="0"/>
      </w:pPr>
      <w:r>
        <w:t>I currently plan to include at least the following languages in the sample. More may be added if time permits.</w:t>
      </w:r>
    </w:p>
    <w:p w14:paraId="7DABB1FC" w14:textId="2A67505E" w:rsidR="006F6DDE" w:rsidRPr="006F6DDE" w:rsidRDefault="006F6DDE" w:rsidP="006F6DDE">
      <w:pPr>
        <w:pStyle w:val="ListParagraph"/>
        <w:numPr>
          <w:ilvl w:val="0"/>
          <w:numId w:val="10"/>
        </w:numPr>
        <w:ind w:left="720"/>
        <w:rPr>
          <w:lang w:val="es-MX"/>
        </w:rPr>
      </w:pPr>
      <w:r w:rsidRPr="006F6DDE">
        <w:rPr>
          <w:lang w:val="es-MX"/>
        </w:rPr>
        <w:t xml:space="preserve">Central </w:t>
      </w:r>
      <w:proofErr w:type="spellStart"/>
      <w:r w:rsidRPr="006F6DDE">
        <w:rPr>
          <w:lang w:val="es-MX"/>
        </w:rPr>
        <w:t>Alaskan</w:t>
      </w:r>
      <w:proofErr w:type="spellEnd"/>
      <w:r w:rsidRPr="006F6DDE">
        <w:rPr>
          <w:lang w:val="es-MX"/>
        </w:rPr>
        <w:t xml:space="preserve"> </w:t>
      </w:r>
      <w:proofErr w:type="spellStart"/>
      <w:r w:rsidRPr="006F6DDE">
        <w:rPr>
          <w:lang w:val="es-MX"/>
        </w:rPr>
        <w:t>Yup’ik</w:t>
      </w:r>
      <w:proofErr w:type="spellEnd"/>
      <w:r w:rsidRPr="006F6DDE">
        <w:rPr>
          <w:lang w:val="es-MX"/>
        </w:rPr>
        <w:t xml:space="preserve"> (</w:t>
      </w:r>
      <w:proofErr w:type="spellStart"/>
      <w:r w:rsidRPr="006F6DDE">
        <w:rPr>
          <w:lang w:val="es-MX"/>
        </w:rPr>
        <w:t>Eskimo-A</w:t>
      </w:r>
      <w:r>
        <w:rPr>
          <w:lang w:val="es-MX"/>
        </w:rPr>
        <w:t>leut</w:t>
      </w:r>
      <w:proofErr w:type="spellEnd"/>
      <w:r>
        <w:rPr>
          <w:lang w:val="es-MX"/>
        </w:rPr>
        <w:t xml:space="preserve"> &gt; </w:t>
      </w:r>
      <w:proofErr w:type="spellStart"/>
      <w:r>
        <w:rPr>
          <w:lang w:val="es-MX"/>
        </w:rPr>
        <w:t>Eskimo</w:t>
      </w:r>
      <w:proofErr w:type="spellEnd"/>
      <w:r>
        <w:rPr>
          <w:lang w:val="es-MX"/>
        </w:rPr>
        <w:t>)</w:t>
      </w:r>
    </w:p>
    <w:p w14:paraId="2F1AC6CB" w14:textId="6896D664" w:rsidR="006F6DDE" w:rsidRDefault="006F6DDE" w:rsidP="006F6DDE">
      <w:pPr>
        <w:pStyle w:val="ListParagraph"/>
        <w:numPr>
          <w:ilvl w:val="0"/>
          <w:numId w:val="10"/>
        </w:numPr>
        <w:ind w:left="720"/>
      </w:pPr>
      <w:r>
        <w:t>Chitimacha (isolate)</w:t>
      </w:r>
    </w:p>
    <w:p w14:paraId="7C27E530" w14:textId="2475C690" w:rsidR="006F6DDE" w:rsidRDefault="006F6DDE" w:rsidP="006F6DDE">
      <w:pPr>
        <w:pStyle w:val="ListParagraph"/>
        <w:numPr>
          <w:ilvl w:val="0"/>
          <w:numId w:val="10"/>
        </w:numPr>
        <w:ind w:left="720"/>
      </w:pPr>
      <w:r>
        <w:t>English (Indo-European &gt; Germanic)</w:t>
      </w:r>
    </w:p>
    <w:p w14:paraId="58DACBBE" w14:textId="0CBCAC16" w:rsidR="006F6DDE" w:rsidRDefault="006F6DDE" w:rsidP="006F6DDE">
      <w:pPr>
        <w:pStyle w:val="ListParagraph"/>
        <w:numPr>
          <w:ilvl w:val="0"/>
          <w:numId w:val="10"/>
        </w:numPr>
        <w:ind w:left="720"/>
      </w:pPr>
      <w:r>
        <w:t>Nuuchahnulth (</w:t>
      </w:r>
      <w:r w:rsidR="00A54C27">
        <w:t xml:space="preserve">a.k.a. Nootka; </w:t>
      </w:r>
      <w:r>
        <w:t>Wakashan)</w:t>
      </w:r>
    </w:p>
    <w:p w14:paraId="466F7068" w14:textId="0D3199AE" w:rsidR="006F6DDE" w:rsidRPr="006F6DDE" w:rsidRDefault="006F6DDE" w:rsidP="006F6DDE">
      <w:pPr>
        <w:pStyle w:val="ListParagraph"/>
        <w:numPr>
          <w:ilvl w:val="0"/>
          <w:numId w:val="10"/>
        </w:numPr>
        <w:ind w:left="720"/>
        <w:rPr>
          <w:lang w:val="es-MX"/>
        </w:rPr>
      </w:pPr>
      <w:r w:rsidRPr="006F6DDE">
        <w:rPr>
          <w:lang w:val="es-MX"/>
        </w:rPr>
        <w:t xml:space="preserve">Riau </w:t>
      </w:r>
      <w:proofErr w:type="spellStart"/>
      <w:r w:rsidRPr="006F6DDE">
        <w:rPr>
          <w:lang w:val="es-MX"/>
        </w:rPr>
        <w:t>Indonesian</w:t>
      </w:r>
      <w:proofErr w:type="spellEnd"/>
      <w:r w:rsidRPr="006F6DDE">
        <w:rPr>
          <w:lang w:val="es-MX"/>
        </w:rPr>
        <w:t xml:space="preserve"> (</w:t>
      </w:r>
      <w:proofErr w:type="spellStart"/>
      <w:r w:rsidRPr="006F6DDE">
        <w:rPr>
          <w:lang w:val="es-MX"/>
        </w:rPr>
        <w:t>Austronesian</w:t>
      </w:r>
      <w:proofErr w:type="spellEnd"/>
      <w:r w:rsidRPr="006F6DDE">
        <w:rPr>
          <w:lang w:val="es-MX"/>
        </w:rPr>
        <w:t xml:space="preserve"> &gt; </w:t>
      </w:r>
      <w:proofErr w:type="gramStart"/>
      <w:r w:rsidRPr="006F6DDE">
        <w:rPr>
          <w:lang w:val="es-MX"/>
        </w:rPr>
        <w:t>Malayo</w:t>
      </w:r>
      <w:proofErr w:type="gramEnd"/>
      <w:r w:rsidRPr="006F6DDE">
        <w:rPr>
          <w:lang w:val="es-MX"/>
        </w:rPr>
        <w:t>-</w:t>
      </w:r>
      <w:proofErr w:type="spellStart"/>
      <w:r w:rsidRPr="006F6DDE">
        <w:rPr>
          <w:lang w:val="es-MX"/>
        </w:rPr>
        <w:t>Po</w:t>
      </w:r>
      <w:r>
        <w:rPr>
          <w:lang w:val="es-MX"/>
        </w:rPr>
        <w:t>lynesian</w:t>
      </w:r>
      <w:proofErr w:type="spellEnd"/>
      <w:r>
        <w:rPr>
          <w:lang w:val="es-MX"/>
        </w:rPr>
        <w:t>)</w:t>
      </w:r>
    </w:p>
    <w:p w14:paraId="6CFAC68F" w14:textId="4EADE12E" w:rsidR="006F6DDE" w:rsidRDefault="006F6DDE" w:rsidP="006F6DDE">
      <w:pPr>
        <w:pStyle w:val="ListParagraph"/>
        <w:numPr>
          <w:ilvl w:val="0"/>
          <w:numId w:val="10"/>
        </w:numPr>
        <w:ind w:left="720"/>
      </w:pPr>
      <w:r>
        <w:t>Spanish (Indo-European &gt; Romance)</w:t>
      </w:r>
    </w:p>
    <w:p w14:paraId="7FA471CE" w14:textId="1DCD26DE" w:rsidR="006F6DDE" w:rsidRDefault="006F6DDE" w:rsidP="006F6DDE">
      <w:pPr>
        <w:pStyle w:val="ListParagraph"/>
        <w:numPr>
          <w:ilvl w:val="0"/>
          <w:numId w:val="10"/>
        </w:numPr>
        <w:ind w:left="720"/>
      </w:pPr>
      <w:r>
        <w:t>Swahili (Niger-Congo &gt; Bantu)</w:t>
      </w:r>
    </w:p>
    <w:p w14:paraId="20B95566" w14:textId="108E4377" w:rsidR="008B45B4" w:rsidRDefault="006F6DDE" w:rsidP="008B45B4">
      <w:r>
        <w:t xml:space="preserve">Each of the research questions in this dissertation </w:t>
      </w:r>
      <w:r w:rsidR="008B45B4">
        <w:t xml:space="preserve">compares the degree of lexical flexibility of a lexeme to some other feature of the lexeme (semantic domain, inherent topicality, grammatical relation, and information status). </w:t>
      </w:r>
      <w:proofErr w:type="gramStart"/>
      <w:r w:rsidR="008B45B4">
        <w:t>Therefore</w:t>
      </w:r>
      <w:proofErr w:type="gramEnd"/>
      <w:r w:rsidR="008B45B4">
        <w:t xml:space="preserv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C97556" w14:textId="795A1012" w:rsidR="00642553" w:rsidRPr="00224873" w:rsidRDefault="00642553" w:rsidP="00224873">
      <w:pPr>
        <w:pStyle w:val="Caption"/>
        <w:keepNext/>
        <w:spacing w:before="240"/>
        <w:jc w:val="center"/>
      </w:pPr>
      <w:bookmarkStart w:id="6" w:name="_Ref503350959"/>
      <w:r w:rsidRPr="00224873">
        <w:t xml:space="preserve">Table </w:t>
      </w:r>
      <w:fldSimple w:instr=" SEQ Table \* ARABIC ">
        <w:r w:rsidRPr="00224873">
          <w:rPr>
            <w:noProof/>
          </w:rPr>
          <w:t>1</w:t>
        </w:r>
      </w:fldSimple>
      <w:bookmarkEnd w:id="6"/>
      <w:r w:rsidRPr="00224873">
        <w:t>. Sample statistical summary of lexical flexibility for Chitimacha</w:t>
      </w:r>
      <w:r w:rsidR="007E5836">
        <w:t xml:space="preserve"> (isolate)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244"/>
        <w:gridCol w:w="1331"/>
        <w:gridCol w:w="1809"/>
        <w:gridCol w:w="1943"/>
        <w:gridCol w:w="857"/>
      </w:tblGrid>
      <w:tr w:rsidR="00D04236" w14:paraId="4E04541E" w14:textId="09C611F8" w:rsidTr="00A9656A">
        <w:trPr>
          <w:jc w:val="center"/>
        </w:trPr>
        <w:tc>
          <w:tcPr>
            <w:tcW w:w="1176" w:type="dxa"/>
            <w:tcBorders>
              <w:bottom w:val="single" w:sz="4" w:space="0" w:color="auto"/>
            </w:tcBorders>
            <w:vAlign w:val="bottom"/>
          </w:tcPr>
          <w:p w14:paraId="7D6C8223" w14:textId="02726737" w:rsidR="00D04236" w:rsidRPr="005904ED" w:rsidRDefault="00D04236" w:rsidP="00770DEF">
            <w:pPr>
              <w:spacing w:line="240" w:lineRule="auto"/>
              <w:ind w:firstLine="0"/>
              <w:rPr>
                <w:b/>
                <w:noProof/>
              </w:rPr>
            </w:pPr>
            <w:r w:rsidRPr="005904ED">
              <w:rPr>
                <w:b/>
                <w:noProof/>
              </w:rPr>
              <w:t>Item</w:t>
            </w:r>
          </w:p>
        </w:tc>
        <w:tc>
          <w:tcPr>
            <w:tcW w:w="2244" w:type="dxa"/>
            <w:tcBorders>
              <w:bottom w:val="single" w:sz="4" w:space="0" w:color="auto"/>
              <w:right w:val="single" w:sz="4" w:space="0" w:color="auto"/>
            </w:tcBorders>
            <w:vAlign w:val="bottom"/>
          </w:tcPr>
          <w:p w14:paraId="46C97240" w14:textId="0D67C28E" w:rsidR="00D04236" w:rsidRPr="005904ED" w:rsidRDefault="00D04236" w:rsidP="00770DEF">
            <w:pPr>
              <w:spacing w:line="240" w:lineRule="auto"/>
              <w:ind w:firstLine="0"/>
              <w:rPr>
                <w:b/>
              </w:rPr>
            </w:pPr>
            <w:r w:rsidRPr="005904ED">
              <w:rPr>
                <w:b/>
              </w:rPr>
              <w:t>Gloss</w:t>
            </w:r>
          </w:p>
        </w:tc>
        <w:tc>
          <w:tcPr>
            <w:tcW w:w="1331" w:type="dxa"/>
            <w:tcBorders>
              <w:left w:val="single" w:sz="4" w:space="0" w:color="auto"/>
              <w:bottom w:val="single" w:sz="4" w:space="0" w:color="auto"/>
            </w:tcBorders>
            <w:vAlign w:val="bottom"/>
          </w:tcPr>
          <w:p w14:paraId="3930CCB4" w14:textId="2DC7046D" w:rsidR="00D04236" w:rsidRPr="005904ED" w:rsidRDefault="00D04236" w:rsidP="00770DEF">
            <w:pPr>
              <w:spacing w:line="240" w:lineRule="auto"/>
              <w:ind w:firstLine="0"/>
              <w:jc w:val="center"/>
              <w:rPr>
                <w:b/>
              </w:rPr>
            </w:pPr>
            <w:r w:rsidRPr="005904ED">
              <w:rPr>
                <w:b/>
              </w:rPr>
              <w:t>Reference Count</w:t>
            </w:r>
          </w:p>
        </w:tc>
        <w:tc>
          <w:tcPr>
            <w:tcW w:w="1809" w:type="dxa"/>
            <w:tcBorders>
              <w:bottom w:val="single" w:sz="4" w:space="0" w:color="auto"/>
            </w:tcBorders>
            <w:vAlign w:val="bottom"/>
          </w:tcPr>
          <w:p w14:paraId="2029EBDC" w14:textId="066A6525" w:rsidR="00D04236" w:rsidRPr="005904ED" w:rsidRDefault="00D04236" w:rsidP="00770DEF">
            <w:pPr>
              <w:spacing w:line="240" w:lineRule="auto"/>
              <w:ind w:firstLine="0"/>
              <w:jc w:val="center"/>
              <w:rPr>
                <w:b/>
              </w:rPr>
            </w:pPr>
            <w:r w:rsidRPr="005904ED">
              <w:rPr>
                <w:b/>
              </w:rPr>
              <w:t>Predication Count</w:t>
            </w:r>
          </w:p>
        </w:tc>
        <w:tc>
          <w:tcPr>
            <w:tcW w:w="1943" w:type="dxa"/>
            <w:tcBorders>
              <w:bottom w:val="single" w:sz="4" w:space="0" w:color="auto"/>
            </w:tcBorders>
            <w:vAlign w:val="bottom"/>
          </w:tcPr>
          <w:p w14:paraId="034A21EE" w14:textId="67A8085C" w:rsidR="00D04236" w:rsidRPr="005904ED" w:rsidRDefault="00D04236" w:rsidP="00770DEF">
            <w:pPr>
              <w:spacing w:line="240" w:lineRule="auto"/>
              <w:ind w:firstLine="0"/>
              <w:jc w:val="center"/>
              <w:rPr>
                <w:b/>
              </w:rPr>
            </w:pPr>
            <w:r w:rsidRPr="005904ED">
              <w:rPr>
                <w:b/>
              </w:rPr>
              <w:t>Modification Count</w:t>
            </w:r>
          </w:p>
        </w:tc>
        <w:tc>
          <w:tcPr>
            <w:tcW w:w="857" w:type="dxa"/>
            <w:tcBorders>
              <w:bottom w:val="single" w:sz="4" w:space="0" w:color="auto"/>
            </w:tcBorders>
          </w:tcPr>
          <w:p w14:paraId="0EAC19DC" w14:textId="67DB74D2" w:rsidR="00D04236" w:rsidRPr="005904ED" w:rsidRDefault="00D04236" w:rsidP="00770DEF">
            <w:pPr>
              <w:spacing w:line="240" w:lineRule="auto"/>
              <w:ind w:firstLine="0"/>
              <w:jc w:val="center"/>
              <w:rPr>
                <w:b/>
              </w:rPr>
            </w:pPr>
            <w:r>
              <w:rPr>
                <w:b/>
              </w:rPr>
              <w:t>Total Count</w:t>
            </w:r>
          </w:p>
        </w:tc>
      </w:tr>
      <w:tr w:rsidR="00A9656A" w14:paraId="555E900E" w14:textId="77777777" w:rsidTr="009C7CB1">
        <w:trPr>
          <w:jc w:val="center"/>
        </w:trPr>
        <w:tc>
          <w:tcPr>
            <w:tcW w:w="1176" w:type="dxa"/>
            <w:tcBorders>
              <w:top w:val="single" w:sz="4" w:space="0" w:color="auto"/>
            </w:tcBorders>
          </w:tcPr>
          <w:p w14:paraId="17F67570" w14:textId="5ABE8F6C" w:rsidR="00A9656A" w:rsidRPr="005904ED" w:rsidRDefault="00A9656A" w:rsidP="00A9656A">
            <w:pPr>
              <w:spacing w:line="240" w:lineRule="auto"/>
              <w:ind w:firstLine="0"/>
              <w:rPr>
                <w:b/>
                <w:noProof/>
              </w:rPr>
            </w:pPr>
            <w:r>
              <w:rPr>
                <w:noProof/>
              </w:rPr>
              <w:t>cuw</w:t>
            </w:r>
            <w:r>
              <w:rPr>
                <w:noProof/>
              </w:rPr>
              <w:noBreakHyphen/>
              <w:t>/tʼut</w:t>
            </w:r>
            <w:r>
              <w:rPr>
                <w:noProof/>
              </w:rPr>
              <w:noBreakHyphen/>
            </w:r>
          </w:p>
        </w:tc>
        <w:tc>
          <w:tcPr>
            <w:tcW w:w="2244" w:type="dxa"/>
            <w:tcBorders>
              <w:top w:val="single" w:sz="4" w:space="0" w:color="auto"/>
              <w:right w:val="single" w:sz="4" w:space="0" w:color="auto"/>
            </w:tcBorders>
          </w:tcPr>
          <w:p w14:paraId="6503F5D1" w14:textId="5B910FA1" w:rsidR="00A9656A" w:rsidRPr="005904ED" w:rsidRDefault="00A9656A" w:rsidP="00A9656A">
            <w:pPr>
              <w:spacing w:line="240" w:lineRule="auto"/>
              <w:ind w:firstLine="0"/>
              <w:rPr>
                <w:b/>
              </w:rPr>
            </w:pPr>
            <w:r>
              <w:t>‘go’</w:t>
            </w:r>
          </w:p>
        </w:tc>
        <w:tc>
          <w:tcPr>
            <w:tcW w:w="1331" w:type="dxa"/>
            <w:tcBorders>
              <w:top w:val="single" w:sz="4" w:space="0" w:color="auto"/>
              <w:left w:val="single" w:sz="4" w:space="0" w:color="auto"/>
            </w:tcBorders>
            <w:vAlign w:val="center"/>
          </w:tcPr>
          <w:p w14:paraId="63FA529A" w14:textId="29B12D49" w:rsidR="00A9656A" w:rsidRPr="007F1195" w:rsidRDefault="007F1195" w:rsidP="00A9656A">
            <w:pPr>
              <w:spacing w:line="240" w:lineRule="auto"/>
              <w:ind w:firstLine="0"/>
              <w:jc w:val="center"/>
            </w:pPr>
            <w:r w:rsidRPr="007F1195">
              <w:t>9</w:t>
            </w:r>
          </w:p>
        </w:tc>
        <w:tc>
          <w:tcPr>
            <w:tcW w:w="1809" w:type="dxa"/>
            <w:tcBorders>
              <w:top w:val="single" w:sz="4" w:space="0" w:color="auto"/>
            </w:tcBorders>
            <w:vAlign w:val="center"/>
          </w:tcPr>
          <w:p w14:paraId="153FCB91" w14:textId="5530FFFB" w:rsidR="00A9656A" w:rsidRPr="005904ED" w:rsidRDefault="007F1195" w:rsidP="00A9656A">
            <w:pPr>
              <w:spacing w:line="240" w:lineRule="auto"/>
              <w:ind w:firstLine="0"/>
              <w:jc w:val="center"/>
              <w:rPr>
                <w:b/>
              </w:rPr>
            </w:pPr>
            <w:r>
              <w:t>581</w:t>
            </w:r>
          </w:p>
        </w:tc>
        <w:tc>
          <w:tcPr>
            <w:tcW w:w="1943" w:type="dxa"/>
            <w:tcBorders>
              <w:top w:val="single" w:sz="4" w:space="0" w:color="auto"/>
            </w:tcBorders>
            <w:vAlign w:val="center"/>
          </w:tcPr>
          <w:p w14:paraId="4B71498D" w14:textId="02B72873" w:rsidR="00A9656A" w:rsidRPr="005904ED" w:rsidRDefault="007F1195" w:rsidP="00A9656A">
            <w:pPr>
              <w:spacing w:line="240" w:lineRule="auto"/>
              <w:ind w:firstLine="0"/>
              <w:jc w:val="center"/>
              <w:rPr>
                <w:b/>
              </w:rPr>
            </w:pPr>
            <w:r>
              <w:t>1</w:t>
            </w:r>
          </w:p>
        </w:tc>
        <w:tc>
          <w:tcPr>
            <w:tcW w:w="857" w:type="dxa"/>
            <w:tcBorders>
              <w:top w:val="single" w:sz="4" w:space="0" w:color="auto"/>
            </w:tcBorders>
          </w:tcPr>
          <w:p w14:paraId="541F71D3" w14:textId="7E7A0933" w:rsidR="00A9656A" w:rsidRDefault="007F1195" w:rsidP="00A9656A">
            <w:pPr>
              <w:spacing w:line="240" w:lineRule="auto"/>
              <w:ind w:firstLine="0"/>
              <w:jc w:val="center"/>
              <w:rPr>
                <w:b/>
              </w:rPr>
            </w:pPr>
            <w:r>
              <w:fldChar w:fldCharType="begin"/>
            </w:r>
            <w:r>
              <w:instrText xml:space="preserve"> =SUM(LEFT) </w:instrText>
            </w:r>
            <w:r>
              <w:fldChar w:fldCharType="separate"/>
            </w:r>
            <w:r>
              <w:rPr>
                <w:noProof/>
              </w:rPr>
              <w:t>591</w:t>
            </w:r>
            <w:r>
              <w:fldChar w:fldCharType="end"/>
            </w:r>
          </w:p>
        </w:tc>
      </w:tr>
      <w:tr w:rsidR="00A9656A" w14:paraId="07E8BE63" w14:textId="77777777" w:rsidTr="00A9656A">
        <w:trPr>
          <w:jc w:val="center"/>
        </w:trPr>
        <w:tc>
          <w:tcPr>
            <w:tcW w:w="1176" w:type="dxa"/>
          </w:tcPr>
          <w:p w14:paraId="5FEBF746" w14:textId="39D1B335" w:rsidR="00A9656A" w:rsidRDefault="00A9656A" w:rsidP="00A9656A">
            <w:pPr>
              <w:spacing w:line="240" w:lineRule="auto"/>
              <w:ind w:firstLine="0"/>
              <w:rPr>
                <w:noProof/>
              </w:rPr>
            </w:pPr>
            <w:r>
              <w:rPr>
                <w:noProof/>
              </w:rPr>
              <w:t>hok</w:t>
            </w:r>
            <w:r>
              <w:rPr>
                <w:noProof/>
              </w:rPr>
              <w:noBreakHyphen/>
            </w:r>
          </w:p>
        </w:tc>
        <w:tc>
          <w:tcPr>
            <w:tcW w:w="2244" w:type="dxa"/>
            <w:tcBorders>
              <w:right w:val="single" w:sz="4" w:space="0" w:color="auto"/>
            </w:tcBorders>
          </w:tcPr>
          <w:p w14:paraId="7A7A2AB1" w14:textId="3CD4C86D" w:rsidR="00A9656A" w:rsidRPr="00AA5534" w:rsidRDefault="00A9656A" w:rsidP="00A9656A">
            <w:pPr>
              <w:spacing w:line="240" w:lineRule="auto"/>
              <w:ind w:firstLine="0"/>
              <w:rPr>
                <w:smallCaps/>
              </w:rPr>
            </w:pPr>
            <w:r>
              <w:t>‘leave’</w:t>
            </w:r>
          </w:p>
        </w:tc>
        <w:tc>
          <w:tcPr>
            <w:tcW w:w="1331" w:type="dxa"/>
            <w:tcBorders>
              <w:left w:val="single" w:sz="4" w:space="0" w:color="auto"/>
            </w:tcBorders>
            <w:vAlign w:val="center"/>
          </w:tcPr>
          <w:p w14:paraId="3BC4C894" w14:textId="31C78484" w:rsidR="00A9656A" w:rsidRDefault="00012724" w:rsidP="00A9656A">
            <w:pPr>
              <w:spacing w:line="240" w:lineRule="auto"/>
              <w:ind w:firstLine="0"/>
              <w:jc w:val="center"/>
            </w:pPr>
            <w:r>
              <w:t>0</w:t>
            </w:r>
          </w:p>
        </w:tc>
        <w:tc>
          <w:tcPr>
            <w:tcW w:w="1809" w:type="dxa"/>
            <w:vAlign w:val="center"/>
          </w:tcPr>
          <w:p w14:paraId="074FAE69" w14:textId="5E75DDD2" w:rsidR="00A9656A" w:rsidRDefault="00A9656A" w:rsidP="00A9656A">
            <w:pPr>
              <w:spacing w:line="240" w:lineRule="auto"/>
              <w:ind w:firstLine="0"/>
              <w:jc w:val="center"/>
            </w:pPr>
            <w:r>
              <w:t>64</w:t>
            </w:r>
          </w:p>
        </w:tc>
        <w:tc>
          <w:tcPr>
            <w:tcW w:w="1943" w:type="dxa"/>
            <w:vAlign w:val="center"/>
          </w:tcPr>
          <w:p w14:paraId="16E2A10D" w14:textId="6ACBABE9" w:rsidR="00A9656A" w:rsidRDefault="00A9656A" w:rsidP="00A9656A">
            <w:pPr>
              <w:spacing w:line="240" w:lineRule="auto"/>
              <w:ind w:firstLine="0"/>
              <w:jc w:val="center"/>
            </w:pPr>
            <w:r>
              <w:t>0</w:t>
            </w:r>
          </w:p>
        </w:tc>
        <w:tc>
          <w:tcPr>
            <w:tcW w:w="857" w:type="dxa"/>
          </w:tcPr>
          <w:p w14:paraId="0F493E53" w14:textId="0DE11374" w:rsidR="00A9656A" w:rsidRDefault="00012724" w:rsidP="00A9656A">
            <w:pPr>
              <w:spacing w:line="240" w:lineRule="auto"/>
              <w:ind w:firstLine="0"/>
              <w:jc w:val="center"/>
            </w:pPr>
            <w:r>
              <w:fldChar w:fldCharType="begin"/>
            </w:r>
            <w:r>
              <w:instrText xml:space="preserve"> =SUM(LEFT) </w:instrText>
            </w:r>
            <w:r>
              <w:fldChar w:fldCharType="separate"/>
            </w:r>
            <w:r>
              <w:rPr>
                <w:noProof/>
              </w:rPr>
              <w:t>64</w:t>
            </w:r>
            <w:r>
              <w:fldChar w:fldCharType="end"/>
            </w:r>
          </w:p>
        </w:tc>
      </w:tr>
      <w:tr w:rsidR="00A9656A" w14:paraId="0554E1EA" w14:textId="36F169E4" w:rsidTr="00D04236">
        <w:trPr>
          <w:jc w:val="center"/>
        </w:trPr>
        <w:tc>
          <w:tcPr>
            <w:tcW w:w="1176" w:type="dxa"/>
          </w:tcPr>
          <w:p w14:paraId="171BE6A2" w14:textId="4D94FDA7" w:rsidR="00A9656A" w:rsidRDefault="00A9656A" w:rsidP="00A9656A">
            <w:pPr>
              <w:spacing w:line="240" w:lineRule="auto"/>
              <w:ind w:firstLine="0"/>
              <w:rPr>
                <w:noProof/>
              </w:rPr>
            </w:pPr>
            <w:r>
              <w:rPr>
                <w:noProof/>
              </w:rPr>
              <w:t>hus</w:t>
            </w:r>
          </w:p>
        </w:tc>
        <w:tc>
          <w:tcPr>
            <w:tcW w:w="2244" w:type="dxa"/>
            <w:tcBorders>
              <w:right w:val="single" w:sz="4" w:space="0" w:color="auto"/>
            </w:tcBorders>
          </w:tcPr>
          <w:p w14:paraId="246B9644" w14:textId="098AB4F2" w:rsidR="00A9656A" w:rsidRPr="00AA5534" w:rsidRDefault="00A9656A" w:rsidP="00A9656A">
            <w:pPr>
              <w:spacing w:line="240" w:lineRule="auto"/>
              <w:ind w:firstLine="0"/>
              <w:rPr>
                <w:smallCaps/>
              </w:rPr>
            </w:pPr>
            <w:r w:rsidRPr="00AA5534">
              <w:rPr>
                <w:smallCaps/>
              </w:rPr>
              <w:t>3sg</w:t>
            </w:r>
          </w:p>
        </w:tc>
        <w:tc>
          <w:tcPr>
            <w:tcW w:w="1331" w:type="dxa"/>
            <w:tcBorders>
              <w:left w:val="single" w:sz="4" w:space="0" w:color="auto"/>
            </w:tcBorders>
            <w:vAlign w:val="center"/>
          </w:tcPr>
          <w:p w14:paraId="4E707822" w14:textId="3A644FFF" w:rsidR="00A9656A" w:rsidRDefault="00A9656A" w:rsidP="00A9656A">
            <w:pPr>
              <w:spacing w:line="240" w:lineRule="auto"/>
              <w:ind w:firstLine="0"/>
              <w:jc w:val="center"/>
            </w:pPr>
            <w:r>
              <w:t>79</w:t>
            </w:r>
          </w:p>
        </w:tc>
        <w:tc>
          <w:tcPr>
            <w:tcW w:w="1809" w:type="dxa"/>
            <w:vAlign w:val="center"/>
          </w:tcPr>
          <w:p w14:paraId="4BBD8A7D" w14:textId="25EFE458" w:rsidR="00A9656A" w:rsidRDefault="00A9656A" w:rsidP="00A9656A">
            <w:pPr>
              <w:spacing w:line="240" w:lineRule="auto"/>
              <w:ind w:firstLine="0"/>
              <w:jc w:val="center"/>
            </w:pPr>
            <w:r>
              <w:t>0</w:t>
            </w:r>
          </w:p>
        </w:tc>
        <w:tc>
          <w:tcPr>
            <w:tcW w:w="1943" w:type="dxa"/>
            <w:vAlign w:val="center"/>
          </w:tcPr>
          <w:p w14:paraId="4176CAF5" w14:textId="6BE4CE73" w:rsidR="00A9656A" w:rsidRDefault="00A9656A" w:rsidP="00A9656A">
            <w:pPr>
              <w:spacing w:line="240" w:lineRule="auto"/>
              <w:ind w:firstLine="0"/>
              <w:jc w:val="center"/>
            </w:pPr>
            <w:r>
              <w:t>437</w:t>
            </w:r>
          </w:p>
        </w:tc>
        <w:tc>
          <w:tcPr>
            <w:tcW w:w="857" w:type="dxa"/>
          </w:tcPr>
          <w:p w14:paraId="66782D1D" w14:textId="59CCBA10" w:rsidR="00A9656A" w:rsidRDefault="00A9656A" w:rsidP="00A9656A">
            <w:pPr>
              <w:spacing w:line="240" w:lineRule="auto"/>
              <w:ind w:firstLine="0"/>
              <w:jc w:val="center"/>
            </w:pPr>
            <w:r>
              <w:fldChar w:fldCharType="begin"/>
            </w:r>
            <w:r w:rsidRPr="00D04236">
              <w:instrText xml:space="preserve"> =SUM(LEFT) </w:instrText>
            </w:r>
            <w:r>
              <w:fldChar w:fldCharType="separate"/>
            </w:r>
            <w:r>
              <w:rPr>
                <w:noProof/>
              </w:rPr>
              <w:t>516</w:t>
            </w:r>
            <w:r>
              <w:fldChar w:fldCharType="end"/>
            </w:r>
          </w:p>
        </w:tc>
      </w:tr>
      <w:tr w:rsidR="00A9656A" w14:paraId="58549C6E" w14:textId="2ABB0D45" w:rsidTr="00D04236">
        <w:trPr>
          <w:jc w:val="center"/>
        </w:trPr>
        <w:tc>
          <w:tcPr>
            <w:tcW w:w="1176" w:type="dxa"/>
          </w:tcPr>
          <w:p w14:paraId="246B775F" w14:textId="58A11929" w:rsidR="00A9656A" w:rsidRDefault="00A9656A" w:rsidP="00A9656A">
            <w:pPr>
              <w:spacing w:line="240" w:lineRule="auto"/>
              <w:ind w:firstLine="0"/>
              <w:rPr>
                <w:noProof/>
              </w:rPr>
            </w:pPr>
            <w:r>
              <w:rPr>
                <w:noProof/>
              </w:rPr>
              <w:t>kišut</w:t>
            </w:r>
            <w:r>
              <w:rPr>
                <w:noProof/>
              </w:rPr>
              <w:noBreakHyphen/>
            </w:r>
          </w:p>
        </w:tc>
        <w:tc>
          <w:tcPr>
            <w:tcW w:w="2244" w:type="dxa"/>
            <w:tcBorders>
              <w:right w:val="single" w:sz="4" w:space="0" w:color="auto"/>
            </w:tcBorders>
          </w:tcPr>
          <w:p w14:paraId="49CF352D" w14:textId="374F28B7" w:rsidR="00A9656A" w:rsidRDefault="00A9656A" w:rsidP="00A9656A">
            <w:pPr>
              <w:spacing w:line="240" w:lineRule="auto"/>
              <w:ind w:firstLine="0"/>
            </w:pPr>
            <w:r>
              <w:t>‘swim’</w:t>
            </w:r>
          </w:p>
        </w:tc>
        <w:tc>
          <w:tcPr>
            <w:tcW w:w="1331" w:type="dxa"/>
            <w:tcBorders>
              <w:left w:val="single" w:sz="4" w:space="0" w:color="auto"/>
            </w:tcBorders>
            <w:vAlign w:val="center"/>
          </w:tcPr>
          <w:p w14:paraId="2D37EBFF" w14:textId="72D9C0C1" w:rsidR="00A9656A" w:rsidRDefault="00A9656A" w:rsidP="00A9656A">
            <w:pPr>
              <w:spacing w:line="240" w:lineRule="auto"/>
              <w:ind w:firstLine="0"/>
              <w:jc w:val="center"/>
            </w:pPr>
            <w:r>
              <w:t>0</w:t>
            </w:r>
          </w:p>
        </w:tc>
        <w:tc>
          <w:tcPr>
            <w:tcW w:w="1809" w:type="dxa"/>
            <w:vAlign w:val="center"/>
          </w:tcPr>
          <w:p w14:paraId="556557A6" w14:textId="26C4A8DF" w:rsidR="00A9656A" w:rsidRDefault="00A9656A" w:rsidP="00A9656A">
            <w:pPr>
              <w:spacing w:line="240" w:lineRule="auto"/>
              <w:ind w:firstLine="0"/>
              <w:jc w:val="center"/>
            </w:pPr>
            <w:r>
              <w:t>13</w:t>
            </w:r>
          </w:p>
        </w:tc>
        <w:tc>
          <w:tcPr>
            <w:tcW w:w="1943" w:type="dxa"/>
            <w:vAlign w:val="center"/>
          </w:tcPr>
          <w:p w14:paraId="2BE0561F" w14:textId="618F371F" w:rsidR="00A9656A" w:rsidRDefault="00A9656A" w:rsidP="00A9656A">
            <w:pPr>
              <w:spacing w:line="240" w:lineRule="auto"/>
              <w:ind w:firstLine="0"/>
              <w:jc w:val="center"/>
            </w:pPr>
            <w:r>
              <w:t>0</w:t>
            </w:r>
          </w:p>
        </w:tc>
        <w:tc>
          <w:tcPr>
            <w:tcW w:w="857" w:type="dxa"/>
          </w:tcPr>
          <w:p w14:paraId="64F8D346" w14:textId="4E427E5F"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13</w:t>
            </w:r>
            <w:r>
              <w:fldChar w:fldCharType="end"/>
            </w:r>
          </w:p>
        </w:tc>
      </w:tr>
      <w:tr w:rsidR="00A9656A" w14:paraId="044523EF" w14:textId="77777777" w:rsidTr="009C7CB1">
        <w:trPr>
          <w:jc w:val="center"/>
        </w:trPr>
        <w:tc>
          <w:tcPr>
            <w:tcW w:w="1176" w:type="dxa"/>
          </w:tcPr>
          <w:p w14:paraId="363D1EBB" w14:textId="77777777" w:rsidR="00A9656A" w:rsidRDefault="00A9656A" w:rsidP="00A9656A">
            <w:pPr>
              <w:spacing w:line="240" w:lineRule="auto"/>
              <w:ind w:firstLine="0"/>
              <w:rPr>
                <w:noProof/>
              </w:rPr>
            </w:pPr>
            <w:r>
              <w:rPr>
                <w:noProof/>
              </w:rPr>
              <w:t>kun</w:t>
            </w:r>
          </w:p>
        </w:tc>
        <w:tc>
          <w:tcPr>
            <w:tcW w:w="2244" w:type="dxa"/>
            <w:tcBorders>
              <w:right w:val="single" w:sz="4" w:space="0" w:color="auto"/>
            </w:tcBorders>
          </w:tcPr>
          <w:p w14:paraId="61D0C3AC" w14:textId="77777777" w:rsidR="00A9656A" w:rsidRDefault="00A9656A" w:rsidP="00A9656A">
            <w:pPr>
              <w:spacing w:line="240" w:lineRule="auto"/>
              <w:ind w:firstLine="0"/>
            </w:pPr>
            <w:r>
              <w:t>‘some’</w:t>
            </w:r>
          </w:p>
        </w:tc>
        <w:tc>
          <w:tcPr>
            <w:tcW w:w="1331" w:type="dxa"/>
            <w:tcBorders>
              <w:left w:val="single" w:sz="4" w:space="0" w:color="auto"/>
            </w:tcBorders>
            <w:vAlign w:val="center"/>
          </w:tcPr>
          <w:p w14:paraId="20EF923A" w14:textId="21979FA8" w:rsidR="00A9656A" w:rsidRDefault="003652A5" w:rsidP="00A9656A">
            <w:pPr>
              <w:spacing w:line="240" w:lineRule="auto"/>
              <w:ind w:firstLine="0"/>
              <w:jc w:val="center"/>
            </w:pPr>
            <w:r>
              <w:t>14</w:t>
            </w:r>
          </w:p>
        </w:tc>
        <w:tc>
          <w:tcPr>
            <w:tcW w:w="1809" w:type="dxa"/>
            <w:vAlign w:val="center"/>
          </w:tcPr>
          <w:p w14:paraId="21C96E66" w14:textId="02059393" w:rsidR="00A9656A" w:rsidRDefault="003652A5" w:rsidP="00A9656A">
            <w:pPr>
              <w:spacing w:line="240" w:lineRule="auto"/>
              <w:ind w:firstLine="0"/>
              <w:jc w:val="center"/>
            </w:pPr>
            <w:r>
              <w:t>0</w:t>
            </w:r>
          </w:p>
        </w:tc>
        <w:tc>
          <w:tcPr>
            <w:tcW w:w="1943" w:type="dxa"/>
            <w:vAlign w:val="center"/>
          </w:tcPr>
          <w:p w14:paraId="479D02CA" w14:textId="3CF275F9" w:rsidR="00A9656A" w:rsidRDefault="003652A5" w:rsidP="00A9656A">
            <w:pPr>
              <w:spacing w:line="240" w:lineRule="auto"/>
              <w:ind w:firstLine="0"/>
              <w:jc w:val="center"/>
            </w:pPr>
            <w:r>
              <w:t>9</w:t>
            </w:r>
          </w:p>
        </w:tc>
        <w:tc>
          <w:tcPr>
            <w:tcW w:w="857" w:type="dxa"/>
          </w:tcPr>
          <w:p w14:paraId="6D80E103" w14:textId="7139B4C2" w:rsidR="00A9656A" w:rsidRDefault="003652A5" w:rsidP="00A9656A">
            <w:pPr>
              <w:spacing w:line="240" w:lineRule="auto"/>
              <w:ind w:firstLine="0"/>
              <w:jc w:val="center"/>
            </w:pPr>
            <w:r>
              <w:fldChar w:fldCharType="begin"/>
            </w:r>
            <w:r>
              <w:instrText xml:space="preserve"> =SUM(LEFT) </w:instrText>
            </w:r>
            <w:r>
              <w:fldChar w:fldCharType="separate"/>
            </w:r>
            <w:r>
              <w:rPr>
                <w:noProof/>
              </w:rPr>
              <w:t>23</w:t>
            </w:r>
            <w:r>
              <w:fldChar w:fldCharType="end"/>
            </w:r>
          </w:p>
        </w:tc>
      </w:tr>
      <w:tr w:rsidR="00A9656A" w14:paraId="5857E32A" w14:textId="77777777" w:rsidTr="009C7CB1">
        <w:trPr>
          <w:jc w:val="center"/>
        </w:trPr>
        <w:tc>
          <w:tcPr>
            <w:tcW w:w="1176" w:type="dxa"/>
          </w:tcPr>
          <w:p w14:paraId="6B803467" w14:textId="77777777" w:rsidR="00A9656A" w:rsidRDefault="00A9656A" w:rsidP="00A9656A">
            <w:pPr>
              <w:spacing w:line="240" w:lineRule="auto"/>
              <w:ind w:firstLine="0"/>
              <w:rPr>
                <w:noProof/>
              </w:rPr>
            </w:pPr>
            <w:r>
              <w:rPr>
                <w:noProof/>
              </w:rPr>
              <w:t>naːnčaʔa</w:t>
            </w:r>
          </w:p>
        </w:tc>
        <w:tc>
          <w:tcPr>
            <w:tcW w:w="2244" w:type="dxa"/>
            <w:tcBorders>
              <w:right w:val="single" w:sz="4" w:space="0" w:color="auto"/>
            </w:tcBorders>
          </w:tcPr>
          <w:p w14:paraId="3067568B" w14:textId="77777777" w:rsidR="00A9656A" w:rsidRPr="00770DEF" w:rsidRDefault="00A9656A" w:rsidP="00A9656A">
            <w:pPr>
              <w:spacing w:line="240" w:lineRule="auto"/>
              <w:ind w:firstLine="0"/>
              <w:rPr>
                <w:smallCaps/>
                <w:noProof/>
              </w:rPr>
            </w:pPr>
            <w:r>
              <w:t>‘brother’</w:t>
            </w:r>
          </w:p>
        </w:tc>
        <w:tc>
          <w:tcPr>
            <w:tcW w:w="1331" w:type="dxa"/>
            <w:tcBorders>
              <w:left w:val="single" w:sz="4" w:space="0" w:color="auto"/>
            </w:tcBorders>
            <w:vAlign w:val="center"/>
          </w:tcPr>
          <w:p w14:paraId="076FE78B" w14:textId="77777777" w:rsidR="00A9656A" w:rsidRDefault="00A9656A" w:rsidP="00A9656A">
            <w:pPr>
              <w:spacing w:line="240" w:lineRule="auto"/>
              <w:ind w:firstLine="0"/>
              <w:jc w:val="center"/>
            </w:pPr>
            <w:r>
              <w:t>4</w:t>
            </w:r>
          </w:p>
        </w:tc>
        <w:tc>
          <w:tcPr>
            <w:tcW w:w="1809" w:type="dxa"/>
            <w:vAlign w:val="center"/>
          </w:tcPr>
          <w:p w14:paraId="6B127930" w14:textId="77777777" w:rsidR="00A9656A" w:rsidRDefault="00A9656A" w:rsidP="00A9656A">
            <w:pPr>
              <w:spacing w:line="240" w:lineRule="auto"/>
              <w:ind w:firstLine="0"/>
              <w:jc w:val="center"/>
            </w:pPr>
            <w:r>
              <w:t>0</w:t>
            </w:r>
          </w:p>
        </w:tc>
        <w:tc>
          <w:tcPr>
            <w:tcW w:w="1943" w:type="dxa"/>
            <w:vAlign w:val="center"/>
          </w:tcPr>
          <w:p w14:paraId="3EC02165" w14:textId="77777777" w:rsidR="00A9656A" w:rsidRDefault="00A9656A" w:rsidP="00A9656A">
            <w:pPr>
              <w:spacing w:line="240" w:lineRule="auto"/>
              <w:ind w:firstLine="0"/>
              <w:jc w:val="center"/>
            </w:pPr>
            <w:r>
              <w:t>0</w:t>
            </w:r>
          </w:p>
        </w:tc>
        <w:tc>
          <w:tcPr>
            <w:tcW w:w="857" w:type="dxa"/>
          </w:tcPr>
          <w:p w14:paraId="6BCDFC6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4</w:t>
            </w:r>
            <w:r>
              <w:fldChar w:fldCharType="end"/>
            </w:r>
          </w:p>
        </w:tc>
      </w:tr>
      <w:tr w:rsidR="00A9656A" w14:paraId="5B318F46" w14:textId="77777777" w:rsidTr="009C7CB1">
        <w:trPr>
          <w:jc w:val="center"/>
        </w:trPr>
        <w:tc>
          <w:tcPr>
            <w:tcW w:w="1176" w:type="dxa"/>
          </w:tcPr>
          <w:p w14:paraId="3EB29880" w14:textId="77777777" w:rsidR="00A9656A" w:rsidRDefault="00A9656A" w:rsidP="00A9656A">
            <w:pPr>
              <w:spacing w:line="240" w:lineRule="auto"/>
              <w:ind w:firstLine="0"/>
              <w:rPr>
                <w:noProof/>
              </w:rPr>
            </w:pPr>
            <w:r>
              <w:rPr>
                <w:noProof/>
              </w:rPr>
              <w:t>ničwa</w:t>
            </w:r>
            <w:r>
              <w:rPr>
                <w:noProof/>
              </w:rPr>
              <w:noBreakHyphen/>
            </w:r>
          </w:p>
        </w:tc>
        <w:tc>
          <w:tcPr>
            <w:tcW w:w="2244" w:type="dxa"/>
            <w:tcBorders>
              <w:right w:val="single" w:sz="4" w:space="0" w:color="auto"/>
            </w:tcBorders>
          </w:tcPr>
          <w:p w14:paraId="649142F6" w14:textId="77777777" w:rsidR="00A9656A" w:rsidRDefault="00A9656A" w:rsidP="00A9656A">
            <w:pPr>
              <w:spacing w:line="240" w:lineRule="auto"/>
              <w:ind w:firstLine="0"/>
            </w:pPr>
            <w:r>
              <w:t>‘go (</w:t>
            </w:r>
            <w:r w:rsidRPr="00770DEF">
              <w:rPr>
                <w:smallCaps/>
              </w:rPr>
              <w:t>vert</w:t>
            </w:r>
            <w:r>
              <w:t>) to water’</w:t>
            </w:r>
          </w:p>
        </w:tc>
        <w:tc>
          <w:tcPr>
            <w:tcW w:w="1331" w:type="dxa"/>
            <w:tcBorders>
              <w:left w:val="single" w:sz="4" w:space="0" w:color="auto"/>
            </w:tcBorders>
            <w:vAlign w:val="center"/>
          </w:tcPr>
          <w:p w14:paraId="33C2B6C1" w14:textId="77777777" w:rsidR="00A9656A" w:rsidRDefault="00A9656A" w:rsidP="00A9656A">
            <w:pPr>
              <w:spacing w:line="240" w:lineRule="auto"/>
              <w:ind w:firstLine="0"/>
              <w:jc w:val="center"/>
            </w:pPr>
            <w:r>
              <w:t>0</w:t>
            </w:r>
          </w:p>
        </w:tc>
        <w:tc>
          <w:tcPr>
            <w:tcW w:w="1809" w:type="dxa"/>
            <w:vAlign w:val="center"/>
          </w:tcPr>
          <w:p w14:paraId="4FE9C65B" w14:textId="77777777" w:rsidR="00A9656A" w:rsidRDefault="00A9656A" w:rsidP="00A9656A">
            <w:pPr>
              <w:spacing w:line="240" w:lineRule="auto"/>
              <w:ind w:firstLine="0"/>
              <w:jc w:val="center"/>
            </w:pPr>
            <w:r>
              <w:t>9</w:t>
            </w:r>
          </w:p>
        </w:tc>
        <w:tc>
          <w:tcPr>
            <w:tcW w:w="1943" w:type="dxa"/>
            <w:vAlign w:val="center"/>
          </w:tcPr>
          <w:p w14:paraId="566B6C65" w14:textId="77777777" w:rsidR="00A9656A" w:rsidRDefault="00A9656A" w:rsidP="00A9656A">
            <w:pPr>
              <w:spacing w:line="240" w:lineRule="auto"/>
              <w:ind w:firstLine="0"/>
              <w:jc w:val="center"/>
            </w:pPr>
            <w:r>
              <w:t>0</w:t>
            </w:r>
          </w:p>
        </w:tc>
        <w:tc>
          <w:tcPr>
            <w:tcW w:w="857" w:type="dxa"/>
          </w:tcPr>
          <w:p w14:paraId="722A48A3"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9</w:t>
            </w:r>
            <w:r>
              <w:fldChar w:fldCharType="end"/>
            </w:r>
          </w:p>
        </w:tc>
      </w:tr>
      <w:tr w:rsidR="00A9656A" w14:paraId="6AACD0A4" w14:textId="77777777" w:rsidTr="009C7CB1">
        <w:trPr>
          <w:jc w:val="center"/>
        </w:trPr>
        <w:tc>
          <w:tcPr>
            <w:tcW w:w="1176" w:type="dxa"/>
          </w:tcPr>
          <w:p w14:paraId="1752463A" w14:textId="77777777" w:rsidR="00A9656A" w:rsidRDefault="00A9656A" w:rsidP="00A9656A">
            <w:pPr>
              <w:spacing w:line="240" w:lineRule="auto"/>
              <w:ind w:firstLine="0"/>
              <w:rPr>
                <w:noProof/>
              </w:rPr>
            </w:pPr>
            <w:r>
              <w:rPr>
                <w:noProof/>
              </w:rPr>
              <w:t>šeːni</w:t>
            </w:r>
          </w:p>
        </w:tc>
        <w:tc>
          <w:tcPr>
            <w:tcW w:w="2244" w:type="dxa"/>
            <w:tcBorders>
              <w:right w:val="single" w:sz="4" w:space="0" w:color="auto"/>
            </w:tcBorders>
          </w:tcPr>
          <w:p w14:paraId="4A5CD1B9" w14:textId="77777777" w:rsidR="00A9656A" w:rsidRDefault="00A9656A" w:rsidP="00A9656A">
            <w:pPr>
              <w:spacing w:line="240" w:lineRule="auto"/>
              <w:ind w:firstLine="0"/>
            </w:pPr>
            <w:r>
              <w:t>‘pond’</w:t>
            </w:r>
          </w:p>
        </w:tc>
        <w:tc>
          <w:tcPr>
            <w:tcW w:w="1331" w:type="dxa"/>
            <w:tcBorders>
              <w:left w:val="single" w:sz="4" w:space="0" w:color="auto"/>
            </w:tcBorders>
            <w:vAlign w:val="center"/>
          </w:tcPr>
          <w:p w14:paraId="65E677F4" w14:textId="77777777" w:rsidR="00A9656A" w:rsidRDefault="00A9656A" w:rsidP="00A9656A">
            <w:pPr>
              <w:spacing w:line="240" w:lineRule="auto"/>
              <w:ind w:firstLine="0"/>
              <w:jc w:val="center"/>
            </w:pPr>
            <w:r>
              <w:t>10</w:t>
            </w:r>
          </w:p>
        </w:tc>
        <w:tc>
          <w:tcPr>
            <w:tcW w:w="1809" w:type="dxa"/>
            <w:vAlign w:val="center"/>
          </w:tcPr>
          <w:p w14:paraId="5594ABFF" w14:textId="77777777" w:rsidR="00A9656A" w:rsidRDefault="00A9656A" w:rsidP="00A9656A">
            <w:pPr>
              <w:spacing w:line="240" w:lineRule="auto"/>
              <w:ind w:firstLine="0"/>
              <w:jc w:val="center"/>
            </w:pPr>
            <w:r>
              <w:t>0</w:t>
            </w:r>
          </w:p>
        </w:tc>
        <w:tc>
          <w:tcPr>
            <w:tcW w:w="1943" w:type="dxa"/>
            <w:vAlign w:val="center"/>
          </w:tcPr>
          <w:p w14:paraId="4397461B" w14:textId="77777777" w:rsidR="00A9656A" w:rsidRDefault="00A9656A" w:rsidP="00A9656A">
            <w:pPr>
              <w:spacing w:line="240" w:lineRule="auto"/>
              <w:ind w:firstLine="0"/>
              <w:jc w:val="center"/>
            </w:pPr>
            <w:r>
              <w:t>2</w:t>
            </w:r>
          </w:p>
        </w:tc>
        <w:tc>
          <w:tcPr>
            <w:tcW w:w="857" w:type="dxa"/>
          </w:tcPr>
          <w:p w14:paraId="1D6945F0" w14:textId="77777777" w:rsidR="00A9656A" w:rsidRDefault="00A9656A" w:rsidP="00A9656A">
            <w:pPr>
              <w:spacing w:line="240" w:lineRule="auto"/>
              <w:ind w:firstLine="0"/>
              <w:jc w:val="center"/>
            </w:pPr>
            <w:r>
              <w:fldChar w:fldCharType="begin"/>
            </w:r>
            <w:r w:rsidRPr="00A9656A">
              <w:instrText xml:space="preserve"> =SUM(LEFT) </w:instrText>
            </w:r>
            <w:r>
              <w:fldChar w:fldCharType="separate"/>
            </w:r>
            <w:r>
              <w:rPr>
                <w:noProof/>
              </w:rPr>
              <w:t>12</w:t>
            </w:r>
            <w:r>
              <w:fldChar w:fldCharType="end"/>
            </w:r>
          </w:p>
        </w:tc>
      </w:tr>
      <w:tr w:rsidR="00A9656A" w14:paraId="04AE5913" w14:textId="77777777" w:rsidTr="009C7CB1">
        <w:trPr>
          <w:jc w:val="center"/>
        </w:trPr>
        <w:tc>
          <w:tcPr>
            <w:tcW w:w="1176" w:type="dxa"/>
          </w:tcPr>
          <w:p w14:paraId="02CD1639" w14:textId="038BF07C" w:rsidR="00A9656A" w:rsidRDefault="00A9656A" w:rsidP="00A9656A">
            <w:pPr>
              <w:spacing w:line="240" w:lineRule="auto"/>
              <w:ind w:firstLine="0"/>
              <w:rPr>
                <w:noProof/>
              </w:rPr>
            </w:pPr>
            <w:r>
              <w:rPr>
                <w:noProof/>
              </w:rPr>
              <w:t>teːt</w:t>
            </w:r>
            <w:r>
              <w:rPr>
                <w:noProof/>
              </w:rPr>
              <w:noBreakHyphen/>
            </w:r>
          </w:p>
        </w:tc>
        <w:tc>
          <w:tcPr>
            <w:tcW w:w="2244" w:type="dxa"/>
            <w:tcBorders>
              <w:right w:val="single" w:sz="4" w:space="0" w:color="auto"/>
            </w:tcBorders>
          </w:tcPr>
          <w:p w14:paraId="10DA38BD" w14:textId="2A9585F0" w:rsidR="00A9656A" w:rsidRDefault="00A9656A" w:rsidP="00A9656A">
            <w:pPr>
              <w:spacing w:line="240" w:lineRule="auto"/>
              <w:ind w:firstLine="0"/>
            </w:pPr>
            <w:r>
              <w:t>‘say’</w:t>
            </w:r>
          </w:p>
        </w:tc>
        <w:tc>
          <w:tcPr>
            <w:tcW w:w="1331" w:type="dxa"/>
            <w:tcBorders>
              <w:left w:val="single" w:sz="4" w:space="0" w:color="auto"/>
            </w:tcBorders>
            <w:vAlign w:val="center"/>
          </w:tcPr>
          <w:p w14:paraId="1EBF6EB3" w14:textId="1F7525C4" w:rsidR="00A9656A" w:rsidRDefault="000B76B7" w:rsidP="00A9656A">
            <w:pPr>
              <w:spacing w:line="240" w:lineRule="auto"/>
              <w:ind w:firstLine="0"/>
              <w:jc w:val="center"/>
            </w:pPr>
            <w:r>
              <w:t>2</w:t>
            </w:r>
          </w:p>
        </w:tc>
        <w:tc>
          <w:tcPr>
            <w:tcW w:w="1809" w:type="dxa"/>
            <w:vAlign w:val="center"/>
          </w:tcPr>
          <w:p w14:paraId="310690CF" w14:textId="57C9AB87" w:rsidR="00A9656A" w:rsidRDefault="000B76B7" w:rsidP="00A9656A">
            <w:pPr>
              <w:spacing w:line="240" w:lineRule="auto"/>
              <w:ind w:firstLine="0"/>
              <w:jc w:val="center"/>
            </w:pPr>
            <w:r>
              <w:t>264</w:t>
            </w:r>
          </w:p>
        </w:tc>
        <w:tc>
          <w:tcPr>
            <w:tcW w:w="1943" w:type="dxa"/>
            <w:vAlign w:val="center"/>
          </w:tcPr>
          <w:p w14:paraId="63EE2F7C" w14:textId="5731CA9B" w:rsidR="00A9656A" w:rsidRDefault="000B76B7" w:rsidP="00A9656A">
            <w:pPr>
              <w:spacing w:line="240" w:lineRule="auto"/>
              <w:ind w:firstLine="0"/>
              <w:jc w:val="center"/>
            </w:pPr>
            <w:r>
              <w:t>0</w:t>
            </w:r>
          </w:p>
        </w:tc>
        <w:tc>
          <w:tcPr>
            <w:tcW w:w="857" w:type="dxa"/>
          </w:tcPr>
          <w:p w14:paraId="43A0A387" w14:textId="63BFF726" w:rsidR="00A9656A" w:rsidRDefault="002811CA" w:rsidP="00A9656A">
            <w:pPr>
              <w:spacing w:line="240" w:lineRule="auto"/>
              <w:ind w:firstLine="0"/>
              <w:jc w:val="center"/>
            </w:pPr>
            <w:r>
              <w:fldChar w:fldCharType="begin"/>
            </w:r>
            <w:r>
              <w:instrText xml:space="preserve"> =SUM(LEFT) </w:instrText>
            </w:r>
            <w:r>
              <w:fldChar w:fldCharType="separate"/>
            </w:r>
            <w:r>
              <w:rPr>
                <w:noProof/>
              </w:rPr>
              <w:t>266</w:t>
            </w:r>
            <w:r>
              <w:fldChar w:fldCharType="end"/>
            </w:r>
          </w:p>
        </w:tc>
      </w:tr>
      <w:tr w:rsidR="00A9656A" w14:paraId="7CE95C70" w14:textId="0BF86FE6" w:rsidTr="00D04236">
        <w:trPr>
          <w:jc w:val="center"/>
        </w:trPr>
        <w:tc>
          <w:tcPr>
            <w:tcW w:w="1176" w:type="dxa"/>
          </w:tcPr>
          <w:p w14:paraId="41021881" w14:textId="52129C2C" w:rsidR="00A9656A" w:rsidRDefault="00A9656A" w:rsidP="00A9656A">
            <w:pPr>
              <w:spacing w:line="240" w:lineRule="auto"/>
              <w:ind w:firstLine="0"/>
              <w:rPr>
                <w:noProof/>
              </w:rPr>
            </w:pPr>
            <w:r>
              <w:rPr>
                <w:noProof/>
              </w:rPr>
              <w:t>we(y)</w:t>
            </w:r>
          </w:p>
        </w:tc>
        <w:tc>
          <w:tcPr>
            <w:tcW w:w="2244" w:type="dxa"/>
            <w:tcBorders>
              <w:right w:val="single" w:sz="4" w:space="0" w:color="auto"/>
            </w:tcBorders>
          </w:tcPr>
          <w:p w14:paraId="0872DFF6" w14:textId="1BBF0D84" w:rsidR="00A9656A" w:rsidRPr="00770DEF" w:rsidRDefault="00A9656A" w:rsidP="00A9656A">
            <w:pPr>
              <w:spacing w:line="240" w:lineRule="auto"/>
              <w:ind w:firstLine="0"/>
              <w:rPr>
                <w:smallCaps/>
                <w:noProof/>
              </w:rPr>
            </w:pPr>
            <w:r w:rsidRPr="00770DEF">
              <w:rPr>
                <w:smallCaps/>
                <w:noProof/>
              </w:rPr>
              <w:t>de</w:t>
            </w:r>
            <w:r w:rsidR="001E25A4">
              <w:rPr>
                <w:smallCaps/>
                <w:noProof/>
              </w:rPr>
              <w:t>m</w:t>
            </w:r>
          </w:p>
        </w:tc>
        <w:tc>
          <w:tcPr>
            <w:tcW w:w="1331" w:type="dxa"/>
            <w:tcBorders>
              <w:left w:val="single" w:sz="4" w:space="0" w:color="auto"/>
            </w:tcBorders>
            <w:vAlign w:val="center"/>
          </w:tcPr>
          <w:p w14:paraId="3A06A4B4" w14:textId="29AEC07B" w:rsidR="00A9656A" w:rsidRDefault="001E25A4" w:rsidP="00A9656A">
            <w:pPr>
              <w:spacing w:line="240" w:lineRule="auto"/>
              <w:ind w:firstLine="0"/>
              <w:jc w:val="center"/>
            </w:pPr>
            <w:r>
              <w:t>553</w:t>
            </w:r>
          </w:p>
        </w:tc>
        <w:tc>
          <w:tcPr>
            <w:tcW w:w="1809" w:type="dxa"/>
            <w:vAlign w:val="center"/>
          </w:tcPr>
          <w:p w14:paraId="2BE95A0B" w14:textId="4A12BB26" w:rsidR="00A9656A" w:rsidRDefault="001E25A4" w:rsidP="00A9656A">
            <w:pPr>
              <w:spacing w:line="240" w:lineRule="auto"/>
              <w:ind w:firstLine="0"/>
              <w:jc w:val="center"/>
            </w:pPr>
            <w:r>
              <w:t>7</w:t>
            </w:r>
          </w:p>
        </w:tc>
        <w:tc>
          <w:tcPr>
            <w:tcW w:w="1943" w:type="dxa"/>
            <w:vAlign w:val="center"/>
          </w:tcPr>
          <w:p w14:paraId="32302ADE" w14:textId="05CF1B7F" w:rsidR="00A9656A" w:rsidRDefault="001E25A4" w:rsidP="00A9656A">
            <w:pPr>
              <w:spacing w:line="240" w:lineRule="auto"/>
              <w:ind w:firstLine="0"/>
              <w:jc w:val="center"/>
            </w:pPr>
            <w:r>
              <w:t>1496</w:t>
            </w:r>
          </w:p>
        </w:tc>
        <w:tc>
          <w:tcPr>
            <w:tcW w:w="857" w:type="dxa"/>
          </w:tcPr>
          <w:p w14:paraId="54E98BAB" w14:textId="52EF058C" w:rsidR="00A9656A" w:rsidRDefault="001E25A4" w:rsidP="00A9656A">
            <w:pPr>
              <w:spacing w:line="240" w:lineRule="auto"/>
              <w:ind w:firstLine="0"/>
              <w:jc w:val="center"/>
            </w:pPr>
            <w:r>
              <w:fldChar w:fldCharType="begin"/>
            </w:r>
            <w:r>
              <w:instrText xml:space="preserve"> =SUM(LEFT) </w:instrText>
            </w:r>
            <w:r>
              <w:fldChar w:fldCharType="separate"/>
            </w:r>
            <w:r>
              <w:rPr>
                <w:noProof/>
              </w:rPr>
              <w:t>2056</w:t>
            </w:r>
            <w:r>
              <w:fldChar w:fldCharType="end"/>
            </w:r>
          </w:p>
        </w:tc>
      </w:tr>
    </w:tbl>
    <w:p w14:paraId="52060ADA" w14:textId="3B9D8431"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2B39EA4D" w14:textId="0AEE0037" w:rsidR="00DE6C31" w:rsidRDefault="00DE6C31" w:rsidP="009C5A3B">
      <w:pPr>
        <w:pStyle w:val="Heading1"/>
      </w:pPr>
      <w:bookmarkStart w:id="7" w:name="_Ref503178933"/>
      <w:r>
        <w:t>Outline</w:t>
      </w:r>
      <w:bookmarkEnd w:id="7"/>
    </w:p>
    <w:p w14:paraId="70EED3D6" w14:textId="7D565A12" w:rsidR="00417CD8" w:rsidRDefault="00417CD8" w:rsidP="00417CD8">
      <w:pPr>
        <w:rPr>
          <w:rFonts w:cs="Times New Roman"/>
        </w:rPr>
      </w:pPr>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19060E">
        <w:rPr>
          <w:rFonts w:cs="Times New Roman"/>
        </w:rPr>
        <w:t>§</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w:t>
      </w:r>
      <w:r w:rsidR="00957FA7">
        <w:rPr>
          <w:rFonts w:cs="Times New Roman"/>
        </w:rPr>
        <w:t>–</w:t>
      </w:r>
      <w:r w:rsidR="00957FA7">
        <w:t>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w:t>
      </w:r>
      <w:r w:rsidR="00957FA7">
        <w:rPr>
          <w:rFonts w:cs="Times New Roman"/>
        </w:rPr>
        <w:t>–6 (Chapter 7).</w:t>
      </w:r>
    </w:p>
    <w:p w14:paraId="74CA59E0" w14:textId="12E5FAFD" w:rsidR="000E38C1" w:rsidRDefault="000E38C1" w:rsidP="00417CD8">
      <w:r>
        <w:t>The dissertation outline is presented below.</w:t>
      </w:r>
    </w:p>
    <w:p w14:paraId="1BDA7DA0" w14:textId="7B349305" w:rsidR="000E38C1" w:rsidRDefault="000E38C1" w:rsidP="000E38C1">
      <w:pPr>
        <w:pStyle w:val="Heading2"/>
      </w:pPr>
      <w:r>
        <w:t>Chapter 1: Introduction</w:t>
      </w:r>
      <w:r w:rsidR="00540DEF">
        <w:t>: The Challenge of Lexical Flexibility</w:t>
      </w:r>
    </w:p>
    <w:p w14:paraId="2AF91198" w14:textId="5A3A025A"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1F0698F6" w14:textId="139B35B2" w:rsidR="00540DEF" w:rsidRDefault="000E38C1" w:rsidP="00540DEF">
      <w:pPr>
        <w:pStyle w:val="Heading2"/>
      </w:pPr>
      <w:r>
        <w:t>Chapter 2: Data &amp; Methods</w:t>
      </w:r>
      <w:r w:rsidR="00540DEF">
        <w:t>: Assessing Lexical Flexibility</w:t>
      </w:r>
    </w:p>
    <w:p w14:paraId="44679860" w14:textId="20E13C78"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w:t>
      </w:r>
      <w:proofErr w:type="gramStart"/>
      <w:r w:rsidR="00C848FA">
        <w:t>similar to</w:t>
      </w:r>
      <w:proofErr w:type="gramEnd"/>
      <w:r w:rsidR="00C848FA">
        <w:t xml:space="preserve"> </w:t>
      </w:r>
      <w:r w:rsidR="00C848FA">
        <w:rPr>
          <w:rFonts w:cs="Times New Roman"/>
        </w:rPr>
        <w:t>§</w:t>
      </w:r>
      <w:r w:rsidR="00020529">
        <w:fldChar w:fldCharType="begin"/>
      </w:r>
      <w:r w:rsidR="00020529">
        <w:rPr>
          <w:rFonts w:cs="Times New Roman"/>
        </w:rPr>
        <w:instrText xml:space="preserve"> REF _Ref503355089 \r \h </w:instrText>
      </w:r>
      <w:r w:rsidR="00020529">
        <w:fldChar w:fldCharType="separate"/>
      </w:r>
      <w:r w:rsidR="00020529">
        <w:rPr>
          <w:rFonts w:cs="Times New Roman"/>
        </w:rPr>
        <w:t>3</w:t>
      </w:r>
      <w:r w:rsidR="00020529">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1ECCAC9E" w14:textId="78F50612" w:rsidR="000E38C1" w:rsidRDefault="000E38C1" w:rsidP="000E38C1">
      <w:pPr>
        <w:pStyle w:val="Heading2"/>
      </w:pPr>
      <w:r>
        <w:t>Chapter 3: Lexical Flexibility and Semantic Domains</w:t>
      </w:r>
    </w:p>
    <w:p w14:paraId="6AF6D619" w14:textId="3CA81D9F" w:rsidR="006E2B40" w:rsidRPr="006E2B40" w:rsidRDefault="006E2B40" w:rsidP="006E2B40">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 xml:space="preserve">of a </w:t>
      </w:r>
      <w:proofErr w:type="gramStart"/>
      <w:r w:rsidR="00D6787E">
        <w:t>particular semantic</w:t>
      </w:r>
      <w:proofErr w:type="gramEnd"/>
      <w:r w:rsidR="00D6787E">
        <w:t xml:space="preserve"> domain to undergo metaphorical extensions into the instrumental, positional, movement-oriented, or temporal domains.</w:t>
      </w:r>
    </w:p>
    <w:p w14:paraId="3D7CE248" w14:textId="508E43AF" w:rsidR="000E38C1" w:rsidRDefault="000E38C1" w:rsidP="000E38C1">
      <w:pPr>
        <w:pStyle w:val="Heading2"/>
      </w:pPr>
      <w:r>
        <w:t>Chapter 4: Lexical Flexibility and Inherent Topicality</w:t>
      </w:r>
    </w:p>
    <w:p w14:paraId="14933FA1" w14:textId="6E0D443D" w:rsidR="001E4C32" w:rsidRPr="003C0562" w:rsidRDefault="00D829E0" w:rsidP="001E4C32">
      <w:r w:rsidRPr="003C0562">
        <w:t xml:space="preserve">In this chapter I determine whether degree of lexical flexibility correlates </w:t>
      </w:r>
      <w:r w:rsidR="00EF0362">
        <w:t>with</w:t>
      </w:r>
      <w:bookmarkStart w:id="8" w:name="_GoBack"/>
      <w:bookmarkEnd w:id="8"/>
      <w:r w:rsidRPr="003C0562">
        <w:t xml:space="preserve"> </w:t>
      </w:r>
      <w:r w:rsidRPr="003C0562">
        <w:rPr>
          <w:rStyle w:val="Definition"/>
        </w:rPr>
        <w:t>inherent topicality</w:t>
      </w:r>
      <w:r w:rsidRPr="003C0562">
        <w:t xml:space="preserve">, i.e. the tendency that items of certain semantic types </w:t>
      </w:r>
      <w:proofErr w:type="gramStart"/>
      <w:r w:rsidRPr="003C0562">
        <w:t>have to</w:t>
      </w:r>
      <w:proofErr w:type="gramEnd"/>
      <w:r w:rsidRPr="003C0562">
        <w:t xml:space="preserve"> function as topics in discourse</w:t>
      </w:r>
      <w:r w:rsidR="004A6C18" w:rsidRPr="003C0562">
        <w:t>. This is traditionally construed as a type of topicality hierarchy</w:t>
      </w:r>
      <w:r w:rsidR="002964BB" w:rsidRPr="003C0562">
        <w:t xml:space="preserve"> reflecting the relative center of interest</w:t>
      </w:r>
      <w:r w:rsidR="00214730" w:rsidRPr="003C0562">
        <w:t xml:space="preserve"> </w:t>
      </w:r>
      <w:r w:rsidR="00214730" w:rsidRPr="003C0562">
        <w:fldChar w:fldCharType="begin" w:fldLock="1"/>
      </w:r>
      <w:r w:rsidR="002964BB" w:rsidRPr="003C0562">
        <w:instrText>ADDIN CSL_CITATION { "citationItems" : [ { "id" : "ITEM-1", "itemData" : { "author" : [ { "dropping-particle" : "", "family" : "DeLancey", "given" : "Scot", "non-dropping-particle" : "", "parse-names" : false, "suffix" : "" } ], "container-title" : "Language", "id" : "ITEM-1", "issue" : "3", "issued" : { "date-parts" : [ [ "1981" ] ] }, "page" : "626-657", "title" : "An interpretation of split ergativity and related patterns", "type" : "article-journal", "volume" : "57" }, "uris" : [ "http://www.mendeley.com/documents/?uuid=a2fca2cc-5186-4993-9893-848523f6d998" ] }, { "id" : "ITEM-2", "itemData" : { "author" : [ { "dropping-particle" : "", "family" : "Mallinson", "given" : "G.", "non-dropping-particle" : "", "parse-names" : false, "suffix" : "" }, { "dropping-particle" : "", "family" : "Blake", "given" : "B. J.", "non-dropping-particle" : "", "parse-names" : false, "suffix" : "" } ], "id" : "ITEM-2", "issued" : { "date-parts" : [ [ "1981" ] ] }, "publisher" : "North-Holland", "publisher-place" : "Oxford", "title" : "Language typology: Cross-linguistic studies in syntax", "type" : "book" }, "locator" : "86", "uris" : [ "http://www.mendeley.com/documents/?uuid=b94f27f7-1ff4-4094-8bcc-c8b1f0335b12" ] } ], "mendeley" : { "formattedCitation" : "(DeLancey 1981; Mallinson &amp; Blake 1981:86)", "plainTextFormattedCitation" : "(DeLancey 1981; Mallinson &amp; Blake 1981:86)", "previouslyFormattedCitation" : "(DeLancey 1981; Mallinson &amp; Blake 1981:86)" }, "properties" : {  }, "schema" : "https://github.com/citation-style-language/schema/raw/master/csl-citation.json" }</w:instrText>
      </w:r>
      <w:r w:rsidR="00214730" w:rsidRPr="003C0562">
        <w:fldChar w:fldCharType="separate"/>
      </w:r>
      <w:r w:rsidR="002964BB" w:rsidRPr="003C0562">
        <w:rPr>
          <w:noProof/>
        </w:rPr>
        <w:t>(DeLancey 1981; Mallinson &amp; Blake 1981:86)</w:t>
      </w:r>
      <w:r w:rsidR="00214730" w:rsidRPr="003C0562">
        <w:fldChar w:fldCharType="end"/>
      </w:r>
      <w:r w:rsidR="00214730" w:rsidRPr="003C0562">
        <w:t>, though it has also been termed</w:t>
      </w:r>
      <w:r w:rsidR="004A6C18" w:rsidRPr="003C0562">
        <w:t xml:space="preserve"> the agency hierarchy</w:t>
      </w:r>
      <w:r w:rsidR="00214730" w:rsidRPr="003C0562">
        <w:t xml:space="preserve"> </w:t>
      </w:r>
      <w:r w:rsidR="00214730" w:rsidRPr="003C0562">
        <w:fldChar w:fldCharType="begin" w:fldLock="1"/>
      </w:r>
      <w:r w:rsidR="00214730" w:rsidRPr="003C0562">
        <w:instrText>ADDIN CSL_CITATION { "citationItems" : [ { "id" : "ITEM-1", "itemData" : { "author" : [ { "dropping-particle" : "", "family" : "Dixon", "given" : "R. M. W.", "non-dropping-particle" : "", "parse-names" : false, "suffix" : "" } ], "container-title" : "Language", "id" : "ITEM-1", "issue" : "1", "issued" : { "date-parts" : [ [ "1979" ] ] }, "page" : "59-138", "title" : "Ergativity", "type" : "article-journal", "volume" : "55" }, "locator" : "85", "uris" : [ "http://www.mendeley.com/documents/?uuid=22f84d6a-5561-4a2d-a832-554267850314" ] } ], "mendeley" : { "formattedCitation" : "(Dixon 1979:85)", "plainTextFormattedCitation" : "(Dixon 1979:85)", "previouslyFormattedCitation" : "(Dixon 1979:85)" }, "properties" : {  }, "schema" : "https://github.com/citation-style-language/schema/raw/master/csl-citation.json" }</w:instrText>
      </w:r>
      <w:r w:rsidR="00214730" w:rsidRPr="003C0562">
        <w:fldChar w:fldCharType="separate"/>
      </w:r>
      <w:r w:rsidR="00214730" w:rsidRPr="003C0562">
        <w:rPr>
          <w:noProof/>
        </w:rPr>
        <w:t>(Dixon 1979:85)</w:t>
      </w:r>
      <w:r w:rsidR="00214730" w:rsidRPr="003C0562">
        <w:fldChar w:fldCharType="end"/>
      </w:r>
      <w:r w:rsidR="004A6C18" w:rsidRPr="003C0562">
        <w:t>, animacy hierarchy</w:t>
      </w:r>
      <w:r w:rsidR="005313D4" w:rsidRPr="003C0562">
        <w:t xml:space="preserve"> </w:t>
      </w:r>
      <w:r w:rsidR="005313D4" w:rsidRPr="003C0562">
        <w:fldChar w:fldCharType="begin" w:fldLock="1"/>
      </w:r>
      <w:r w:rsidR="00D76520" w:rsidRPr="003C0562">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"mendeley" : { "formattedCitation" : "(Comrie 1978:385\u2013388; 1981:128)", "plainTextFormattedCitation" : "(Comrie 1978:385\u2013388; 1981:128)", "previouslyFormattedCitation" : "(Comrie 1978:385\u2013388; 1981:128)" }, "properties" : {  }, "schema" : "https://github.com/citation-style-language/schema/raw/master/csl-citation.json" }</w:instrText>
      </w:r>
      <w:r w:rsidR="005313D4" w:rsidRPr="003C0562">
        <w:fldChar w:fldCharType="separate"/>
      </w:r>
      <w:r w:rsidR="00D76520" w:rsidRPr="003C0562">
        <w:rPr>
          <w:noProof/>
        </w:rPr>
        <w:t>(Comrie 1978:385–388; 1981:128)</w:t>
      </w:r>
      <w:r w:rsidR="005313D4" w:rsidRPr="003C0562">
        <w:fldChar w:fldCharType="end"/>
      </w:r>
      <w:r w:rsidR="004A6C18" w:rsidRPr="003C0562">
        <w:t>, nominal hierarchy</w:t>
      </w:r>
      <w:r w:rsidR="00706E46" w:rsidRPr="003C0562">
        <w:t xml:space="preserve"> </w:t>
      </w:r>
      <w:r w:rsidR="00706E46" w:rsidRPr="003C0562">
        <w:fldChar w:fldCharType="begin" w:fldLock="1"/>
      </w:r>
      <w:r w:rsidR="00706E46" w:rsidRPr="003C0562">
        <w:instrText>ADDIN CSL_CITATION { "citationItems" : [ { "id" : "ITEM-1", "itemData" : { "author" : [ { "dropping-particle" : "", "family" : "Dixon", "given" : "R. M. W.", "non-dropping-particle" : "", "parse-names" : false, "suffix" : "" } ], "collection-title" : "Cambridge Studies in Linguistics", "id" : "ITEM-1", "issued" : { "date-parts" : [ [ "1994" ] ] }, "publisher" : "Cambridge University Press", "publisher-place" : "Cambridge", "title" : "Ergativity", "type" : "book", "volume" : "69" }, "locator" : "85", "uris" : [ "http://www.mendeley.com/documents/?uuid=d01c7501-e3bc-44fc-9e60-b376dbb97ef9" ] } ], "mendeley" : { "formattedCitation" : "(Dixon 1994:85)", "plainTextFormattedCitation" : "(Dixon 1994:85)", "previouslyFormattedCitation" : "(Dixon 1994:85)" }, "properties" : {  }, "schema" : "https://github.com/citation-style-language/schema/raw/master/csl-citation.json" }</w:instrText>
      </w:r>
      <w:r w:rsidR="00706E46" w:rsidRPr="003C0562">
        <w:fldChar w:fldCharType="separate"/>
      </w:r>
      <w:r w:rsidR="00706E46" w:rsidRPr="003C0562">
        <w:rPr>
          <w:noProof/>
        </w:rPr>
        <w:t>(Dixon 1994:85)</w:t>
      </w:r>
      <w:r w:rsidR="00706E46" w:rsidRPr="003C0562">
        <w:fldChar w:fldCharType="end"/>
      </w:r>
      <w:r w:rsidR="004A6C18" w:rsidRPr="003C0562">
        <w:t>, noun phrase hierarchy</w:t>
      </w:r>
      <w:r w:rsidR="00706E46" w:rsidRPr="003C0562">
        <w:t xml:space="preserve"> </w:t>
      </w:r>
      <w:r w:rsidR="002A368A" w:rsidRPr="003C0562">
        <w:fldChar w:fldCharType="begin" w:fldLock="1"/>
      </w:r>
      <w:r w:rsidR="002A368A" w:rsidRPr="003C0562">
        <w:instrText>ADDIN CSL_CITATION { "citationItems" : [ { "id" : "ITEM-1", "itemData" : { "DOI" : "10.1515/lity.2005.9.1.77", "ISSN" : "14300532", "author" : [ { "dropping-particle" : "", "family" : "Filimonova", "given" : "Elena", "non-dropping-particle" : "", "parse-names" : false, "suffix" : "" } ], "container-title" : "Linguistic Typology", "id" : "ITEM-1", "issue" : "1", "issued" : { "date-parts" : [ [ "2005" ] ] }, "page" : "77-113", "title" : "The noun phrase hierarchy and relational marking: Problems and counterevidence", "type" : "article-journal", "volume" : "9" }, "uris" : [ "http://www.mendeley.com/documents/?uuid=59fc7dec-ea51-4cbe-a11e-3fe1b882b4a4" ] } ], "mendeley" : { "formattedCitation" : "(Filimonova 2005)", "plainTextFormattedCitation" : "(Filimonova 2005)", "previouslyFormattedCitation" : "(Filimonova 2005)" }, "properties" : {  }, "schema" : "https://github.com/citation-style-language/schema/raw/master/csl-citation.json" }</w:instrText>
      </w:r>
      <w:r w:rsidR="002A368A" w:rsidRPr="003C0562">
        <w:fldChar w:fldCharType="separate"/>
      </w:r>
      <w:r w:rsidR="002A368A" w:rsidRPr="003C0562">
        <w:rPr>
          <w:noProof/>
        </w:rPr>
        <w:t>(Filimonova 2005)</w:t>
      </w:r>
      <w:r w:rsidR="002A368A" w:rsidRPr="003C0562">
        <w:fldChar w:fldCharType="end"/>
      </w:r>
      <w:r w:rsidR="004A6C18" w:rsidRPr="003C0562">
        <w:t>, person/animacy hierarchy</w:t>
      </w:r>
      <w:r w:rsidR="002A368A" w:rsidRPr="003C0562">
        <w:t xml:space="preserve"> </w:t>
      </w:r>
      <w:r w:rsidR="002A368A" w:rsidRPr="003C0562">
        <w:fldChar w:fldCharType="begin" w:fldLock="1"/>
      </w:r>
      <w:r w:rsidR="002A368A" w:rsidRPr="003C0562">
        <w:instrText>ADDIN CSL_CITATION { "citationItems" : [ { "id" : "ITEM-1",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"ITEM-1", "issued" : { "date-parts" : [ [ "2004" ] ] }, "publisher" : "Cambridge University Press", "publisher-place" : "Cambridge", "title" : "Case", "type" : "book" }, "locator" : "137", "uris" : [ "http://www.mendeley.com/documents/?uuid=0d5acffe-d911-4151-ba2b-1d24849a4596" ] } ], "mendeley" : { "formattedCitation" : "(Blake 2004:137)", "plainTextFormattedCitation" : "(Blake 2004:137)", "previouslyFormattedCitation" : "(Blake 2004:137)" }, "properties" : {  }, "schema" : "https://github.com/citation-style-language/schema/raw/master/csl-citation.json" }</w:instrText>
      </w:r>
      <w:r w:rsidR="002A368A" w:rsidRPr="003C0562">
        <w:fldChar w:fldCharType="separate"/>
      </w:r>
      <w:r w:rsidR="002A368A" w:rsidRPr="003C0562">
        <w:rPr>
          <w:noProof/>
        </w:rPr>
        <w:t>(Blake 2004:137)</w:t>
      </w:r>
      <w:r w:rsidR="002A368A" w:rsidRPr="003C0562">
        <w:fldChar w:fldCharType="end"/>
      </w:r>
      <w:r w:rsidR="004A6C18" w:rsidRPr="003C0562">
        <w:t>, and referential hierarchy</w:t>
      </w:r>
      <w:r w:rsidR="0098108E" w:rsidRPr="003C0562">
        <w:t xml:space="preserve"> </w:t>
      </w:r>
      <w:r w:rsidR="0098108E" w:rsidRPr="003C0562">
        <w:fldChar w:fldCharType="begin" w:fldLock="1"/>
      </w:r>
      <w:r w:rsidR="0098108E" w:rsidRPr="003C0562">
        <w:instrText>ADDIN CSL_CITATION { "citationItems" : [ { "id" : "ITEM-1", "itemData" : { "author" : [ { "dropping-particle" : "", "family" : "Bickel", "given" : "Balthasar", "non-dropping-particle" : "", "parse-names" : false, "suffix" : "" } ], "collection-title" : "Typological Studies in Language", "container-title" : "Case and grammatical relations: Papers in honor of Bernard Comrie", "editor" : [ { "dropping-particle" : "", "family" : "Corbett", "given" : "Greville G.", "non-dropping-particle" : "", "parse-names" : false, "suffix" : "" }, { "dropping-particle" : "", "family" : "Noonan", "given" : "Michael", "non-dropping-particle" : "", "parse-names" : false, "suffix" : "" } ], "id" : "ITEM-1", "issued" : { "date-parts" : [ [ "2008" ] ] }, "page" : "191-200", "publisher" : "John Benjamins", "publisher-place" : "Amsterdam", "title" : "On the scope of the referential hierarchy in the typology of grammatical relations", "type" : "chapter", "volume" : "81" }, "uris" : [ "http://www.mendeley.com/documents/?uuid=1c73997e-b608-4b83-9380-63a3921057ba" ] } ], "mendeley" : { "formattedCitation" : "(Bickel 2008)", "plainTextFormattedCitation" : "(Bickel 2008)", "previouslyFormattedCitation" : "(Bickel 2008)" }, "properties" : {  }, "schema" : "https://github.com/citation-style-language/schema/raw/master/csl-citation.json" }</w:instrText>
      </w:r>
      <w:r w:rsidR="0098108E" w:rsidRPr="003C0562">
        <w:fldChar w:fldCharType="separate"/>
      </w:r>
      <w:r w:rsidR="0098108E" w:rsidRPr="003C0562">
        <w:rPr>
          <w:noProof/>
        </w:rPr>
        <w:t>(Bickel 2008)</w:t>
      </w:r>
      <w:r w:rsidR="0098108E" w:rsidRPr="003C0562">
        <w:fldChar w:fldCharType="end"/>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76E9B4B6" w14:textId="77777777" w:rsidR="004550E0" w:rsidRDefault="00AD5F4F" w:rsidP="004550E0">
      <w:pPr>
        <w:keepNext/>
        <w:spacing w:before="240"/>
        <w:ind w:firstLine="0"/>
        <w:jc w:val="center"/>
      </w:pPr>
      <w:r>
        <w:rPr>
          <w:noProof/>
        </w:rPr>
        <mc:AlternateContent>
          <mc:Choice Requires="wps">
            <w:drawing>
              <wp:inline distT="0" distB="0" distL="0" distR="0" wp14:anchorId="10416944" wp14:editId="0B1BDD09">
                <wp:extent cx="2286000" cy="1097280"/>
                <wp:effectExtent l="0" t="0" r="19050" b="26670"/>
                <wp:docPr id="24" name="Text Box 24"/>
                <wp:cNvGraphicFramePr/>
                <a:graphic xmlns:a="http://schemas.openxmlformats.org/drawingml/2006/main">
                  <a:graphicData uri="http://schemas.microsoft.com/office/word/2010/wordprocessingShape">
                    <wps:wsp>
                      <wps:cNvSpPr txBox="1"/>
                      <wps:spPr>
                        <a:xfrm>
                          <a:off x="0" y="0"/>
                          <a:ext cx="2286000" cy="1097280"/>
                        </a:xfrm>
                        <a:prstGeom prst="rect">
                          <a:avLst/>
                        </a:prstGeom>
                        <a:solidFill>
                          <a:schemeClr val="lt1"/>
                        </a:solidFill>
                        <a:ln w="6350">
                          <a:solidFill>
                            <a:prstClr val="black"/>
                          </a:solidFill>
                        </a:ln>
                      </wps:spPr>
                      <wps:txbx>
                        <w:txbxContent>
                          <w:p w14:paraId="218FFF0E" w14:textId="62468EB1" w:rsidR="00AD5F4F" w:rsidRPr="00AD5F4F" w:rsidRDefault="00AD5F4F"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AD5F4F" w:rsidRPr="00AD5F4F" w:rsidRDefault="00AD5F4F"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AD5F4F" w:rsidRPr="00AD5F4F" w:rsidRDefault="00AD5F4F" w:rsidP="00AD5F4F">
                            <w:pPr>
                              <w:spacing w:line="240" w:lineRule="auto"/>
                              <w:ind w:firstLine="0"/>
                              <w:rPr>
                                <w:sz w:val="22"/>
                              </w:rPr>
                            </w:pPr>
                            <w:r w:rsidRPr="00AD5F4F">
                              <w:rPr>
                                <w:sz w:val="22"/>
                              </w:rPr>
                              <w:t>personal names / kin terms</w:t>
                            </w:r>
                          </w:p>
                          <w:p w14:paraId="2AA60E40" w14:textId="6AD1FFB7" w:rsidR="00AD5F4F" w:rsidRPr="00AD5F4F" w:rsidRDefault="00AD5F4F" w:rsidP="00AD5F4F">
                            <w:pPr>
                              <w:spacing w:line="240" w:lineRule="auto"/>
                              <w:ind w:firstLine="0"/>
                              <w:rPr>
                                <w:sz w:val="22"/>
                              </w:rPr>
                            </w:pPr>
                            <w:r w:rsidRPr="00AD5F4F">
                              <w:rPr>
                                <w:sz w:val="22"/>
                              </w:rPr>
                              <w:t>human animate noun phrases</w:t>
                            </w:r>
                          </w:p>
                          <w:p w14:paraId="154C0F9C" w14:textId="666E2BDB" w:rsidR="00AD5F4F" w:rsidRPr="00AD5F4F" w:rsidRDefault="00AD5F4F" w:rsidP="00AD5F4F">
                            <w:pPr>
                              <w:spacing w:line="240" w:lineRule="auto"/>
                              <w:ind w:firstLine="0"/>
                              <w:rPr>
                                <w:sz w:val="22"/>
                              </w:rPr>
                            </w:pPr>
                            <w:r w:rsidRPr="00AD5F4F">
                              <w:rPr>
                                <w:sz w:val="22"/>
                              </w:rPr>
                              <w:t>non-human animate noun phrases</w:t>
                            </w:r>
                          </w:p>
                          <w:p w14:paraId="2B956047" w14:textId="26FE74E5" w:rsidR="00AD5F4F" w:rsidRPr="00AD5F4F" w:rsidRDefault="00AD5F4F" w:rsidP="00AD5F4F">
                            <w:pPr>
                              <w:spacing w:line="240" w:lineRule="auto"/>
                              <w:ind w:firstLine="0"/>
                              <w:rPr>
                                <w:sz w:val="22"/>
                              </w:rPr>
                            </w:pPr>
                            <w:r w:rsidRPr="00AD5F4F">
                              <w:rPr>
                                <w:sz w:val="22"/>
                              </w:rPr>
                              <w:t>inanimate noun phrases</w:t>
                            </w:r>
                          </w:p>
                          <w:p w14:paraId="2EEE0C70" w14:textId="77777777" w:rsidR="00AD5F4F" w:rsidRPr="00AD5F4F" w:rsidRDefault="00AD5F4F"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0416944"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" fillcolor="white [3201]" strokeweight=".5pt">
                <v:textbox>
                  <w:txbxContent>
                    <w:p w14:paraId="218FFF0E" w14:textId="62468EB1" w:rsidR="00AD5F4F" w:rsidRPr="00AD5F4F" w:rsidRDefault="00AD5F4F"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47DD1383" w14:textId="1220626A" w:rsidR="00AD5F4F" w:rsidRPr="00AD5F4F" w:rsidRDefault="00AD5F4F"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7F6C2DA8" w14:textId="7C5381C3" w:rsidR="00AD5F4F" w:rsidRPr="00AD5F4F" w:rsidRDefault="00AD5F4F" w:rsidP="00AD5F4F">
                      <w:pPr>
                        <w:spacing w:line="240" w:lineRule="auto"/>
                        <w:ind w:firstLine="0"/>
                        <w:rPr>
                          <w:sz w:val="22"/>
                        </w:rPr>
                      </w:pPr>
                      <w:r w:rsidRPr="00AD5F4F">
                        <w:rPr>
                          <w:sz w:val="22"/>
                        </w:rPr>
                        <w:t>personal names / kin terms</w:t>
                      </w:r>
                    </w:p>
                    <w:p w14:paraId="2AA60E40" w14:textId="6AD1FFB7" w:rsidR="00AD5F4F" w:rsidRPr="00AD5F4F" w:rsidRDefault="00AD5F4F" w:rsidP="00AD5F4F">
                      <w:pPr>
                        <w:spacing w:line="240" w:lineRule="auto"/>
                        <w:ind w:firstLine="0"/>
                        <w:rPr>
                          <w:sz w:val="22"/>
                        </w:rPr>
                      </w:pPr>
                      <w:r w:rsidRPr="00AD5F4F">
                        <w:rPr>
                          <w:sz w:val="22"/>
                        </w:rPr>
                        <w:t>human animate noun phrases</w:t>
                      </w:r>
                    </w:p>
                    <w:p w14:paraId="154C0F9C" w14:textId="666E2BDB" w:rsidR="00AD5F4F" w:rsidRPr="00AD5F4F" w:rsidRDefault="00AD5F4F" w:rsidP="00AD5F4F">
                      <w:pPr>
                        <w:spacing w:line="240" w:lineRule="auto"/>
                        <w:ind w:firstLine="0"/>
                        <w:rPr>
                          <w:sz w:val="22"/>
                        </w:rPr>
                      </w:pPr>
                      <w:r w:rsidRPr="00AD5F4F">
                        <w:rPr>
                          <w:sz w:val="22"/>
                        </w:rPr>
                        <w:t>non-human animate noun phrases</w:t>
                      </w:r>
                    </w:p>
                    <w:p w14:paraId="2B956047" w14:textId="26FE74E5" w:rsidR="00AD5F4F" w:rsidRPr="00AD5F4F" w:rsidRDefault="00AD5F4F" w:rsidP="00AD5F4F">
                      <w:pPr>
                        <w:spacing w:line="240" w:lineRule="auto"/>
                        <w:ind w:firstLine="0"/>
                        <w:rPr>
                          <w:sz w:val="22"/>
                        </w:rPr>
                      </w:pPr>
                      <w:r w:rsidRPr="00AD5F4F">
                        <w:rPr>
                          <w:sz w:val="22"/>
                        </w:rPr>
                        <w:t>inanimate noun phrases</w:t>
                      </w:r>
                    </w:p>
                    <w:p w14:paraId="2EEE0C70" w14:textId="77777777" w:rsidR="00AD5F4F" w:rsidRPr="00AD5F4F" w:rsidRDefault="00AD5F4F" w:rsidP="00AD5F4F">
                      <w:pPr>
                        <w:spacing w:line="240" w:lineRule="auto"/>
                        <w:ind w:firstLine="0"/>
                        <w:rPr>
                          <w:sz w:val="22"/>
                          <w:lang w:val="fr-FR"/>
                        </w:rPr>
                      </w:pPr>
                    </w:p>
                  </w:txbxContent>
                </v:textbox>
                <w10:anchorlock/>
              </v:shape>
            </w:pict>
          </mc:Fallback>
        </mc:AlternateContent>
      </w:r>
    </w:p>
    <w:p w14:paraId="312DE85B" w14:textId="545287E8" w:rsidR="004A6C18" w:rsidRPr="00A31FB6" w:rsidRDefault="004550E0" w:rsidP="004550E0">
      <w:pPr>
        <w:pStyle w:val="Caption"/>
        <w:jc w:val="center"/>
      </w:pPr>
      <w:bookmarkStart w:id="9" w:name="_Ref503526122"/>
      <w:r>
        <w:t xml:space="preserve">Figure </w:t>
      </w:r>
      <w:fldSimple w:instr=" SEQ Figure \* ARABIC ">
        <w:r>
          <w:rPr>
            <w:noProof/>
          </w:rPr>
          <w:t>1</w:t>
        </w:r>
      </w:fldSimple>
      <w:bookmarkEnd w:id="9"/>
      <w:r>
        <w:t>. The topicality hierarchy</w:t>
      </w:r>
    </w:p>
    <w:p w14:paraId="7CC77D24" w14:textId="2ECB4D92" w:rsidR="00D829E0" w:rsidRP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fldChar w:fldCharType="begin" w:fldLock="1"/>
      </w:r>
      <w:r w:rsidR="00D76520">
        <w:instrText>ADDIN CSL_CITATION { "citationItems" : [ { "id" : "ITEM-1", "itemData" : { "author" : [ { "dropping-particle" : "", "family" : "Comrie", "given" : "Bernard", "non-dropping-particle" : "", "parse-names" : false, "suffix" : "" } ], "container-title" : "Syntactic typology: Studies in the phenomenology of language", "editor" : [ { "dropping-particle" : "", "family" : "Lehmann", "given" : "Winfred P.", "non-dropping-particle" : "", "parse-names" : false, "suffix" : "" } ], "id" : "ITEM-1", "issued" : { "date-parts" : [ [ "1978" ] ] }, "page" : "329-394", "publisher" : "University of Texas Press", "publisher-place" : "Austin", "title" : "Ergativity", "type" : "chapter" }, "locator" : "385-388", "uris" : [ "http://www.mendeley.com/documents/?uuid=43b22aa8-20e4-4aa9-b0cf-94eaea86e71d" ] }, { "id" : "ITEM-2", "itemData" : { "author" : [ { "dropping-particle" : "", "family" : "Comrie", "given" : "Bernard", "non-dropping-particle" : "", "parse-names" : false, "suffix" : "" } ], "edition" : "2nd", "id" : "ITEM-2", "issued" : { "date-parts" : [ [ "1981" ] ] }, "publisher" : "University of Chicago Press", "publisher-place" : "Chicago", "title" : "Language universals and linguistic typology: Syntax and morphology", "type" : "book" }, "locator" : "128", "suppress-author" : 1, "uris" : [ "http://www.mendeley.com/documents/?uuid=2155afb7-c3b3-48d9-b384-c74d53dda794" ] }, { "id" : "ITEM-3", "itemData" : { "DOI" : "10.1017/CBO9781107415324.004", "ISBN" : "0-511-03610-8", "ISSN" : "1098-6596", "PMID" : "25246403", "abstract" : "Number is the most underestimated of the grammatical categories. It is deceptively simple yet the number system which philosophers, logicians and many linguists take as the norm \u2013 namely an obligatory distinction between singular and plural (as in cat versus cats) \u2013 is only one of a wide range of possibilities to be found in languages around the world. Some languages, for instance,make more distinctions than English, having three, four or even five different values. Adopting a wide-ranging perspective,Greville Corbett draws on some 250 languages to analyse the possible systems of number. He reveals that the means for signalling number are remarkably diverse and are put to a surprising range of special additional uses. By surveying some of the riches of the world\u2019s linguistic resources this book makes a major contribution to the typology of categories and demonstrates that languages are much more varied than is generally recognised.", "author" : [ { "dropping-particle" : "", "family" : "Corbett", "given" : "Greville G.", "non-dropping-particle" : "", "parse-names" : false, "suffix" : "" } ], "collection-title" : "Cambridge Textbooks in Linguistics", "id" : "ITEM-3", "issued" : { "date-parts" : [ [ "2000" ] ] }, "publisher" : "Cambridge University Press", "publisher-place" : "Cambridge", "title" : "Number", "type" : "book" }, "locator" : "56", "uris" : [ "http://www.mendeley.com/documents/?uuid=db00b79f-5f16-489a-8655-03a5298d45ef" ] }, { "id" : "ITEM-4", "itemData" : { "ISBN" : "0-521-80761-1", "abstract" : "Case is an accessible introduction for students of linguistics to the ways rela- tions between words in sentences are marked in languages. Case is fundamen- tal to the whole system of language. One of its most interesting features is the recurrence of apparently idiosyncratic patterns and devices in otherwise un- related languages. This book picks out these recurring strategies and explores their significance. It provides the background against which the case marking of particular languages can be best understood. In this revised edition, Blake refines and expands on his discussions of the most important concepts in the study of case, taking into account recent devel- opments in the field. It incorporates significant additions to the data and includes a thoroughly revised section on abstract case in the Chomskian paradigm", "author" : [ { "dropping-particle" : "", "family" : "Blake", "given" : "Barry J.", "non-dropping-particle" : "", "parse-names" : false, "suffix" : "" } ], "collection-title" : "Cambridge Textbooks in Linguistics", "edition" : "2", "id" : "ITEM-4", "issued" : { "date-parts" : [ [ "2004" ] ] }, "publisher" : "Cambridge University Press", "publisher-place" : "Cambridge", "title" : "Case", "type" : "book" }, "locator" : "137", "uris" : [ "http://www.mendeley.com/documents/?uuid=0d5acffe-d911-4151-ba2b-1d24849a4596" ] }, { "id" : "ITEM-5", "itemData" : { "DOI" : "10.1017/CBO9780511812729", "ISBN" : "0521776694", "abstract" : "This textbook deals with the grammatical category of person, which covers the first person, the second person, and the third person. Drawing on data from over 700 languages, Anna Siewierska compares the use of person within and across different languages, and examines the factors underlying this variation. She shows how person forms vary in substance, in the nature of the semantic distinctions they convey, in how they are used in sentences and discourse, and in the way they function to convey social distinctions. By looking at different types of person forms in the grammatical and social contexts in which they are used, this book documents an underlying unity between them, arguing against the treatment of person markers based on arbitrary sets of morphological and syntactic properties. Clearly organized and accessibly written, it will be welcomed by students and scholars of linguistics, particularly those interested in grammatical categories and their use.", "author" : [ { "dropping-particle" : "", "family" : "Siewierska", "given" : "Anna", "non-dropping-particle" : "", "parse-names" : false, "suffix" : "" } ], "collection-title" : "Cambridge Textbooks in Linguistics", "id" : "ITEM-5", "issued" : { "date-parts" : [ [ "2004" ] ] }, "publisher" : "Cambridge University Press", "publisher-place" : "Cambridge", "title" : "Person", "type" : "book" }, "locator" : "148-161", "uris" : [ "http://www.mendeley.com/documents/?uuid=036e0778-d4c7-4e25-9de5-6d3326b4045b" ] } ], "mendeley" : { "formattedCitation" : "(Comrie 1978:385\u2013388; 1981:128; Corbett 2000:56; Blake 2004:137; Siewierska 2004:148\u2013161)", "plainTextFormattedCitation" : "(Comrie 1978:385\u2013388; 1981:128; Corbett 2000:56; Blake 2004:137; Siewierska 2004:148\u2013161)", "previouslyFormattedCitation" : "(Comrie 1978:385\u2013388; 1981:128; Corbett 2000:56; Blake 2004:137; Siewierska 2004:148\u2013161)" }, "properties" : {  }, "schema" : "https://github.com/citation-style-language/schema/raw/master/csl-citation.json" }</w:instrText>
      </w:r>
      <w:r w:rsidR="00D76520">
        <w:fldChar w:fldCharType="separate"/>
      </w:r>
      <w:r w:rsidR="00D76520" w:rsidRPr="00D76520">
        <w:rPr>
          <w:noProof/>
        </w:rPr>
        <w:t>(Comrie 1978:385–388; 1981:128; Corbett 2000:56; Blake 2004:137; Siewierska 2004:148–161)</w:t>
      </w:r>
      <w:r w:rsidR="00D76520">
        <w:fldChar w:fldCharType="end"/>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687343A1" w14:textId="37D5A78B" w:rsidR="000E38C1" w:rsidRDefault="000E38C1" w:rsidP="000E38C1">
      <w:pPr>
        <w:pStyle w:val="Heading2"/>
      </w:pPr>
      <w:r>
        <w:t>Chapter 5: Lexical Flexibility and Grammatical Role</w:t>
      </w:r>
    </w:p>
    <w:p w14:paraId="1A895F1B" w14:textId="7A238C15" w:rsidR="009141BE" w:rsidRPr="009141BE" w:rsidRDefault="009141BE" w:rsidP="009141BE">
      <w:r>
        <w:rPr>
          <w:rFonts w:cs="Times New Roman"/>
        </w:rPr>
        <w:t xml:space="preserve">The focus of this chapter is to determine whether the current and/or previous choice of grammatical role for a lexeme in context correlates with choice of lexical category. According to Hopper &amp; Thompson </w:t>
      </w:r>
      <w:r>
        <w:rPr>
          <w:rFonts w:cs="Times New Roman"/>
        </w:rPr>
        <w:fldChar w:fldCharType="begin" w:fldLock="1"/>
      </w:r>
      <w:r>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Pr>
          <w:rFonts w:cs="Times New Roman"/>
        </w:rPr>
        <w:fldChar w:fldCharType="separate"/>
      </w:r>
      <w:r w:rsidRPr="009141BE">
        <w:rPr>
          <w:rFonts w:cs="Times New Roman"/>
          <w:noProof/>
        </w:rPr>
        <w:t>(1984)</w:t>
      </w:r>
      <w:r>
        <w:rPr>
          <w:rFonts w:cs="Times New Roman"/>
        </w:rPr>
        <w:fldChar w:fldCharType="end"/>
      </w:r>
      <w:r>
        <w:rPr>
          <w:rFonts w:cs="Times New Roman"/>
        </w:rPr>
        <w:t xml:space="preserve">, we should expect that continuing topics are more likely to be construed with nominal constructions, since they are manipulable by the discourse. As such, I hypothesize that </w:t>
      </w:r>
      <w:r w:rsidR="006163F5">
        <w:rPr>
          <w:rFonts w:cs="Times New Roman"/>
        </w:rPr>
        <w:t>items which have previously been coded in a subject, ergative, or agent construction (depending on the language)</w:t>
      </w:r>
      <w:r>
        <w:rPr>
          <w:rFonts w:cs="Times New Roman"/>
        </w:rPr>
        <w:t xml:space="preserve"> </w:t>
      </w:r>
      <w:r w:rsidR="006163F5">
        <w:rPr>
          <w:rFonts w:cs="Times New Roman"/>
        </w:rPr>
        <w:t>will be more likely to be encoded using a nominal construction in their subsequent appearance</w:t>
      </w:r>
      <w:r w:rsidR="001F736D">
        <w:rPr>
          <w:rFonts w:cs="Times New Roman"/>
        </w:rPr>
        <w:t>s</w:t>
      </w:r>
      <w:r w:rsidR="006163F5">
        <w:rPr>
          <w:rFonts w:cs="Times New Roman"/>
        </w:rPr>
        <w:t>.</w:t>
      </w:r>
    </w:p>
    <w:p w14:paraId="33F5CC99" w14:textId="16C41D6F" w:rsidR="000E38C1" w:rsidRDefault="000E38C1" w:rsidP="000E38C1">
      <w:pPr>
        <w:pStyle w:val="Heading2"/>
      </w:pPr>
      <w:r>
        <w:lastRenderedPageBreak/>
        <w:t>Chapter 6: Lexical Flexibility and Information Status</w:t>
      </w:r>
    </w:p>
    <w:p w14:paraId="7CA9F187" w14:textId="455FDB84"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p>
    <w:p w14:paraId="421BADD1" w14:textId="2FD31F33" w:rsidR="000E38C1" w:rsidRDefault="000C142E" w:rsidP="000E38C1">
      <w:pPr>
        <w:pStyle w:val="Heading2"/>
      </w:pPr>
      <w:r>
        <w:t xml:space="preserve">Chapter 7: </w:t>
      </w:r>
      <w:r w:rsidR="000E38C1">
        <w:t>Conclusion</w:t>
      </w:r>
      <w:r>
        <w:t xml:space="preserve"> – </w:t>
      </w:r>
      <w:r w:rsidR="00540DEF">
        <w:t>The Grammaticization of Categoriality</w:t>
      </w:r>
    </w:p>
    <w:p w14:paraId="499835EE" w14:textId="2BD45977" w:rsidR="007B4469" w:rsidRPr="007B4469" w:rsidRDefault="007B4469" w:rsidP="007B4469">
      <w:r>
        <w:t xml:space="preserve">I conclude the dissertation by discussing the broader implications of the preceding chapters. </w:t>
      </w:r>
      <w:proofErr w:type="gramStart"/>
      <w:r>
        <w:t>In particular, I</w:t>
      </w:r>
      <w:proofErr w:type="gramEnd"/>
      <w:r>
        <w:t xml:space="preserve"> discuss the role of diachrony and lexicalization, and argue that speakers possess an immense amount of item-specific knowledge regarding what types of constructions are permissible for individual lexemes. However, I expect to find that the data </w:t>
      </w:r>
      <w:r w:rsidR="00776651">
        <w:t xml:space="preserve">also </w:t>
      </w:r>
      <w:r>
        <w:t xml:space="preserve">show various </w:t>
      </w:r>
      <w:r w:rsidR="00F23E50">
        <w:t>trends</w:t>
      </w:r>
      <w:r>
        <w:t xml:space="preserve"> suggestive of a process whereby discourse tendencies</w:t>
      </w:r>
      <w:r>
        <w:rPr>
          <w:rFonts w:cs="Times New Roman"/>
        </w:rPr>
        <w:t>—</w:t>
      </w:r>
      <w:r>
        <w:t>such as the tendency for new topics to appear in nominal constructions</w:t>
      </w:r>
      <w:r>
        <w:rPr>
          <w:rFonts w:cs="Times New Roman"/>
        </w:rPr>
        <w:t>—</w:t>
      </w:r>
      <w:r>
        <w:t xml:space="preserve">become grammaticized </w:t>
      </w:r>
      <w:r w:rsidR="00CA1E49">
        <w:t xml:space="preserve">as dedicated markers of </w:t>
      </w:r>
      <w:proofErr w:type="gramStart"/>
      <w:r w:rsidR="00CA1E49">
        <w:t>particular pragmatic</w:t>
      </w:r>
      <w:proofErr w:type="gramEnd"/>
      <w:r w:rsidR="00CA1E49">
        <w:t xml:space="preserve"> functions </w:t>
      </w:r>
      <w:r>
        <w:t xml:space="preserve">to </w:t>
      </w:r>
      <w:r w:rsidR="00CA1E49">
        <w:t xml:space="preserve">varying </w:t>
      </w:r>
      <w:r>
        <w:t>degrees in different languages.</w:t>
      </w:r>
    </w:p>
    <w:p w14:paraId="56606B4B" w14:textId="32D16E2B" w:rsidR="00DE6C31" w:rsidRDefault="00DE6C31" w:rsidP="009C5A3B">
      <w:pPr>
        <w:pStyle w:val="Heading1"/>
      </w:pPr>
      <w:r>
        <w:t>Timeline</w:t>
      </w:r>
    </w:p>
    <w:p w14:paraId="277C4775" w14:textId="74D0754A" w:rsidR="00CE05AD" w:rsidRDefault="00CE05AD" w:rsidP="00D15672">
      <w:pPr>
        <w:spacing w:after="240"/>
      </w:pPr>
      <w:r>
        <w:t>I hope to complete and defend the dissertation by the end of the 2017</w:t>
      </w:r>
      <w:r>
        <w:rPr>
          <w:rFonts w:cs="Times New Roman"/>
        </w:rPr>
        <w:t>–</w:t>
      </w:r>
      <w:r>
        <w:t>2018 academic year, with the possibility of extending the timeline to a second year. Meeting this goal requires following a rigorous timeline, laid out below.</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578"/>
        <w:gridCol w:w="3344"/>
      </w:tblGrid>
      <w:tr w:rsidR="005B421C" w:rsidRPr="003A70E1" w14:paraId="790718A7"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71AAD" w14:textId="77777777" w:rsidR="005B421C" w:rsidRPr="003A70E1" w:rsidRDefault="005B421C" w:rsidP="005B421C">
            <w:pPr>
              <w:spacing w:line="240" w:lineRule="auto"/>
              <w:ind w:firstLine="0"/>
              <w:rPr>
                <w:sz w:val="22"/>
              </w:rPr>
            </w:pPr>
            <w:r w:rsidRPr="003A70E1">
              <w:rPr>
                <w:sz w:val="22"/>
              </w:rPr>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D73A55" w14:textId="77777777" w:rsidR="005B421C" w:rsidRPr="003A70E1" w:rsidRDefault="005B421C" w:rsidP="005B421C">
            <w:pPr>
              <w:spacing w:line="240" w:lineRule="auto"/>
              <w:ind w:firstLine="0"/>
              <w:rPr>
                <w:sz w:val="22"/>
              </w:rPr>
            </w:pPr>
            <w:r w:rsidRPr="003A70E1">
              <w:rPr>
                <w:sz w:val="22"/>
              </w:rPr>
              <w:t>Committee reads prospectus</w:t>
            </w:r>
          </w:p>
          <w:p w14:paraId="3BE5C6C4" w14:textId="77777777" w:rsidR="005B421C" w:rsidRPr="003A70E1" w:rsidRDefault="005B421C" w:rsidP="005B421C">
            <w:pPr>
              <w:spacing w:line="240" w:lineRule="auto"/>
              <w:ind w:firstLine="0"/>
              <w:rPr>
                <w:sz w:val="22"/>
              </w:rPr>
            </w:pPr>
            <w:r w:rsidRPr="003A70E1">
              <w:rPr>
                <w:sz w:val="22"/>
              </w:rPr>
              <w:t>Finish Chapters 1-3</w:t>
            </w:r>
          </w:p>
        </w:tc>
      </w:tr>
      <w:tr w:rsidR="005B421C" w:rsidRPr="003A70E1" w14:paraId="02AC2FA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49BB80" w14:textId="77777777" w:rsidR="005B421C" w:rsidRPr="003A70E1" w:rsidRDefault="005B421C" w:rsidP="005B421C">
            <w:pPr>
              <w:spacing w:line="240" w:lineRule="auto"/>
              <w:ind w:firstLine="0"/>
              <w:rPr>
                <w:sz w:val="22"/>
              </w:rPr>
            </w:pPr>
            <w:r w:rsidRPr="003A70E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AE8A7" w14:textId="77777777" w:rsidR="005B421C" w:rsidRPr="003A70E1" w:rsidRDefault="005B421C" w:rsidP="005B421C">
            <w:pPr>
              <w:spacing w:line="240" w:lineRule="auto"/>
              <w:ind w:firstLine="0"/>
              <w:rPr>
                <w:sz w:val="22"/>
              </w:rPr>
            </w:pPr>
            <w:r w:rsidRPr="003A70E1">
              <w:rPr>
                <w:sz w:val="22"/>
              </w:rPr>
              <w:t>Prospectus revisions</w:t>
            </w:r>
          </w:p>
        </w:tc>
      </w:tr>
      <w:tr w:rsidR="005B421C" w:rsidRPr="003A70E1" w14:paraId="0D90133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BE89D" w14:textId="77777777" w:rsidR="005B421C" w:rsidRPr="003A70E1" w:rsidRDefault="005B421C" w:rsidP="005B421C">
            <w:pPr>
              <w:spacing w:line="240" w:lineRule="auto"/>
              <w:ind w:firstLine="0"/>
              <w:rPr>
                <w:sz w:val="22"/>
              </w:rPr>
            </w:pPr>
            <w:r w:rsidRPr="003A70E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7A08F" w14:textId="77777777" w:rsidR="005B421C" w:rsidRPr="003A70E1" w:rsidRDefault="005B421C" w:rsidP="005B421C">
            <w:pPr>
              <w:spacing w:line="240" w:lineRule="auto"/>
              <w:ind w:firstLine="0"/>
              <w:rPr>
                <w:sz w:val="22"/>
              </w:rPr>
            </w:pPr>
            <w:r w:rsidRPr="003A70E1">
              <w:rPr>
                <w:sz w:val="22"/>
              </w:rPr>
              <w:t>Committee reads revised prospectus</w:t>
            </w:r>
          </w:p>
          <w:p w14:paraId="17A77068" w14:textId="77777777" w:rsidR="005B421C" w:rsidRPr="003A70E1" w:rsidRDefault="005B421C" w:rsidP="005B421C">
            <w:pPr>
              <w:spacing w:line="240" w:lineRule="auto"/>
              <w:ind w:firstLine="0"/>
              <w:rPr>
                <w:sz w:val="22"/>
              </w:rPr>
            </w:pPr>
            <w:r w:rsidRPr="003A70E1">
              <w:rPr>
                <w:sz w:val="22"/>
              </w:rPr>
              <w:t>Write Chapter 4</w:t>
            </w:r>
          </w:p>
        </w:tc>
      </w:tr>
      <w:tr w:rsidR="005B421C" w:rsidRPr="003A70E1" w14:paraId="13431020"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CBDE6" w14:textId="77777777" w:rsidR="005B421C" w:rsidRPr="003A70E1" w:rsidRDefault="005B421C" w:rsidP="005B421C">
            <w:pPr>
              <w:spacing w:line="240" w:lineRule="auto"/>
              <w:ind w:firstLine="0"/>
              <w:rPr>
                <w:sz w:val="22"/>
              </w:rPr>
            </w:pPr>
            <w:r w:rsidRPr="003A70E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E19DE" w14:textId="77777777" w:rsidR="005B421C" w:rsidRPr="003A70E1" w:rsidRDefault="005B421C" w:rsidP="005B421C">
            <w:pPr>
              <w:spacing w:line="240" w:lineRule="auto"/>
              <w:ind w:firstLine="0"/>
              <w:rPr>
                <w:sz w:val="22"/>
              </w:rPr>
            </w:pPr>
            <w:r w:rsidRPr="003A70E1">
              <w:rPr>
                <w:sz w:val="22"/>
              </w:rPr>
              <w:t>Prospectus defense</w:t>
            </w:r>
          </w:p>
        </w:tc>
      </w:tr>
      <w:tr w:rsidR="005B421C" w:rsidRPr="003A70E1" w14:paraId="6E0A055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E5121" w14:textId="77777777" w:rsidR="005B421C" w:rsidRPr="003A70E1" w:rsidRDefault="005B421C" w:rsidP="005B421C">
            <w:pPr>
              <w:spacing w:line="240" w:lineRule="auto"/>
              <w:ind w:firstLine="0"/>
              <w:rPr>
                <w:sz w:val="22"/>
              </w:rPr>
            </w:pPr>
            <w:r w:rsidRPr="003A70E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B06A1" w14:textId="77777777" w:rsidR="005B421C" w:rsidRPr="003A70E1" w:rsidRDefault="005B421C" w:rsidP="005B421C">
            <w:pPr>
              <w:spacing w:line="240" w:lineRule="auto"/>
              <w:ind w:firstLine="0"/>
              <w:rPr>
                <w:sz w:val="22"/>
              </w:rPr>
            </w:pPr>
            <w:r w:rsidRPr="003A70E1">
              <w:rPr>
                <w:sz w:val="22"/>
              </w:rPr>
              <w:t>6 weeks total</w:t>
            </w:r>
          </w:p>
        </w:tc>
      </w:tr>
      <w:tr w:rsidR="005B421C" w:rsidRPr="003A70E1" w14:paraId="14EA366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B8C96"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CD0FF6" w14:textId="77777777" w:rsidR="005B421C" w:rsidRPr="003A70E1" w:rsidRDefault="005B421C" w:rsidP="005B421C">
            <w:pPr>
              <w:spacing w:line="240" w:lineRule="auto"/>
              <w:ind w:firstLine="0"/>
              <w:rPr>
                <w:sz w:val="22"/>
              </w:rPr>
            </w:pPr>
            <w:r w:rsidRPr="003A70E1">
              <w:rPr>
                <w:sz w:val="22"/>
              </w:rPr>
              <w:t>Write Chapter 5 (2 weeks)</w:t>
            </w:r>
          </w:p>
        </w:tc>
      </w:tr>
      <w:tr w:rsidR="005B421C" w:rsidRPr="003A70E1" w14:paraId="0EFF87B1"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68FD8"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93DAA" w14:textId="77777777" w:rsidR="005B421C" w:rsidRPr="003A70E1" w:rsidRDefault="005B421C" w:rsidP="005B421C">
            <w:pPr>
              <w:spacing w:line="240" w:lineRule="auto"/>
              <w:ind w:firstLine="0"/>
              <w:rPr>
                <w:sz w:val="22"/>
              </w:rPr>
            </w:pPr>
            <w:r w:rsidRPr="003A70E1">
              <w:rPr>
                <w:sz w:val="22"/>
              </w:rPr>
              <w:t>Write Chapter 6 (2 weeks)</w:t>
            </w:r>
          </w:p>
        </w:tc>
      </w:tr>
      <w:tr w:rsidR="005B421C" w:rsidRPr="003A70E1" w14:paraId="00BB90AD"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381C"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8DD1" w14:textId="77777777" w:rsidR="005B421C" w:rsidRPr="003A70E1" w:rsidRDefault="005B421C" w:rsidP="005B421C">
            <w:pPr>
              <w:spacing w:line="240" w:lineRule="auto"/>
              <w:ind w:firstLine="0"/>
              <w:rPr>
                <w:sz w:val="22"/>
              </w:rPr>
            </w:pPr>
            <w:r w:rsidRPr="003A70E1">
              <w:rPr>
                <w:sz w:val="22"/>
              </w:rPr>
              <w:t>Write Conclusion (1 week)</w:t>
            </w:r>
          </w:p>
        </w:tc>
      </w:tr>
      <w:tr w:rsidR="005B421C" w:rsidRPr="003A70E1" w14:paraId="79115F9A"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9F92A" w14:textId="77777777"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8A291" w14:textId="77777777" w:rsidR="005B421C" w:rsidRPr="003A70E1" w:rsidRDefault="005B421C" w:rsidP="005B421C">
            <w:pPr>
              <w:spacing w:line="240" w:lineRule="auto"/>
              <w:ind w:firstLine="0"/>
              <w:rPr>
                <w:sz w:val="22"/>
              </w:rPr>
            </w:pPr>
            <w:r w:rsidRPr="003A70E1">
              <w:rPr>
                <w:sz w:val="22"/>
              </w:rPr>
              <w:t>Buffer (1 week)</w:t>
            </w:r>
          </w:p>
        </w:tc>
      </w:tr>
      <w:tr w:rsidR="005B421C" w:rsidRPr="003A70E1" w14:paraId="08580BB4"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D895D" w14:textId="77777777" w:rsidR="005B421C" w:rsidRPr="003A70E1" w:rsidRDefault="005B421C" w:rsidP="005B421C">
            <w:pPr>
              <w:spacing w:line="240" w:lineRule="auto"/>
              <w:ind w:firstLine="0"/>
              <w:rPr>
                <w:sz w:val="22"/>
              </w:rPr>
            </w:pPr>
            <w:r w:rsidRPr="003A70E1">
              <w:rPr>
                <w:sz w:val="22"/>
              </w:rPr>
              <w:lastRenderedPageBreak/>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765A" w14:textId="77777777" w:rsidR="005B421C" w:rsidRPr="003A70E1" w:rsidRDefault="005B421C" w:rsidP="005B421C">
            <w:pPr>
              <w:spacing w:line="240" w:lineRule="auto"/>
              <w:ind w:firstLine="0"/>
              <w:rPr>
                <w:sz w:val="22"/>
              </w:rPr>
            </w:pPr>
            <w:r w:rsidRPr="003A70E1">
              <w:rPr>
                <w:sz w:val="22"/>
              </w:rPr>
              <w:t>Committee reads thesis</w:t>
            </w:r>
          </w:p>
        </w:tc>
      </w:tr>
      <w:tr w:rsidR="005B421C" w:rsidRPr="003A70E1" w14:paraId="1C658BC5"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C5A3ED" w14:textId="77777777" w:rsidR="005B421C" w:rsidRPr="003A70E1" w:rsidRDefault="005B421C" w:rsidP="005B421C">
            <w:pPr>
              <w:spacing w:line="240" w:lineRule="auto"/>
              <w:ind w:firstLine="0"/>
              <w:rPr>
                <w:sz w:val="22"/>
              </w:rPr>
            </w:pPr>
            <w:r w:rsidRPr="003A70E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E8308" w14:textId="77777777" w:rsidR="005B421C" w:rsidRPr="003A70E1" w:rsidRDefault="005B421C" w:rsidP="005B421C">
            <w:pPr>
              <w:spacing w:line="240" w:lineRule="auto"/>
              <w:ind w:firstLine="0"/>
              <w:rPr>
                <w:sz w:val="22"/>
              </w:rPr>
            </w:pPr>
            <w:r w:rsidRPr="003A70E1">
              <w:rPr>
                <w:sz w:val="22"/>
              </w:rPr>
              <w:t>Thesis revisions</w:t>
            </w:r>
          </w:p>
        </w:tc>
      </w:tr>
      <w:tr w:rsidR="005B421C" w:rsidRPr="003A70E1" w14:paraId="171F6586"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FD170" w14:textId="77777777" w:rsidR="005B421C" w:rsidRPr="003A70E1" w:rsidRDefault="005B421C" w:rsidP="005B421C">
            <w:pPr>
              <w:spacing w:line="240" w:lineRule="auto"/>
              <w:ind w:firstLine="0"/>
              <w:rPr>
                <w:sz w:val="22"/>
              </w:rPr>
            </w:pPr>
            <w:r w:rsidRPr="003A70E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2C3D4" w14:textId="77777777" w:rsidR="005B421C" w:rsidRPr="003A70E1" w:rsidRDefault="005B421C" w:rsidP="005B421C">
            <w:pPr>
              <w:spacing w:line="240" w:lineRule="auto"/>
              <w:ind w:firstLine="0"/>
              <w:rPr>
                <w:sz w:val="22"/>
              </w:rPr>
            </w:pPr>
            <w:r w:rsidRPr="003A70E1">
              <w:rPr>
                <w:sz w:val="22"/>
              </w:rPr>
              <w:t>Committee reads revised thesis</w:t>
            </w:r>
          </w:p>
        </w:tc>
      </w:tr>
      <w:tr w:rsidR="005B421C" w:rsidRPr="003A70E1" w14:paraId="766254AC" w14:textId="77777777"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6806D" w14:textId="77777777" w:rsidR="005B421C" w:rsidRPr="003A70E1" w:rsidRDefault="005B421C" w:rsidP="005B421C">
            <w:pPr>
              <w:spacing w:line="240" w:lineRule="auto"/>
              <w:ind w:firstLine="0"/>
              <w:rPr>
                <w:sz w:val="22"/>
              </w:rPr>
            </w:pPr>
            <w:r w:rsidRPr="003A70E1">
              <w:rPr>
                <w:sz w:val="22"/>
              </w:rPr>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998AA" w14:textId="77777777" w:rsidR="005B421C" w:rsidRPr="003A70E1" w:rsidRDefault="005B421C" w:rsidP="005B421C">
            <w:pPr>
              <w:spacing w:line="240" w:lineRule="auto"/>
              <w:ind w:firstLine="0"/>
              <w:rPr>
                <w:sz w:val="22"/>
              </w:rPr>
            </w:pPr>
            <w:r w:rsidRPr="003A70E1">
              <w:rPr>
                <w:sz w:val="22"/>
              </w:rPr>
              <w:t>Thesis defense</w:t>
            </w:r>
          </w:p>
        </w:tc>
      </w:tr>
    </w:tbl>
    <w:p w14:paraId="37595841" w14:textId="60F96536" w:rsidR="00FD59DC" w:rsidRDefault="00DE6C31" w:rsidP="001E4A7C">
      <w:pPr>
        <w:pStyle w:val="Heading1"/>
        <w:pageBreakBefore/>
        <w:numPr>
          <w:ilvl w:val="0"/>
          <w:numId w:val="0"/>
        </w:numPr>
      </w:pPr>
      <w:r>
        <w:lastRenderedPageBreak/>
        <w:t>References</w:t>
      </w:r>
    </w:p>
    <w:p w14:paraId="3FEB5713" w14:textId="41FEB91E" w:rsidR="00D76520" w:rsidRPr="00D76520" w:rsidRDefault="0020387A" w:rsidP="00D76520">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D76520" w:rsidRPr="00D76520">
        <w:rPr>
          <w:rFonts w:cs="Times New Roman"/>
          <w:noProof/>
        </w:rPr>
        <w:t xml:space="preserve">Arad, Maya. 2003. Locality constraints on the interpretation of roots: The case of Hebrew denominal verbs. </w:t>
      </w:r>
      <w:r w:rsidR="00D76520" w:rsidRPr="00D76520">
        <w:rPr>
          <w:rFonts w:cs="Times New Roman"/>
          <w:i/>
          <w:iCs/>
          <w:noProof/>
        </w:rPr>
        <w:t>Natural Language &amp; Linguistic Theory</w:t>
      </w:r>
      <w:r w:rsidR="00D76520" w:rsidRPr="00D76520">
        <w:rPr>
          <w:rFonts w:cs="Times New Roman"/>
          <w:noProof/>
        </w:rPr>
        <w:t xml:space="preserve"> 21. 737–778.</w:t>
      </w:r>
    </w:p>
    <w:p w14:paraId="42784E3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Baker, Mark &amp; William Croft. 2017. Lexical categories: Legacy, lacuna, and opportunity for functionalists and formalists. </w:t>
      </w:r>
      <w:r w:rsidRPr="00D76520">
        <w:rPr>
          <w:rFonts w:cs="Times New Roman"/>
          <w:i/>
          <w:iCs/>
          <w:noProof/>
        </w:rPr>
        <w:t>Annual Review of Linguistics</w:t>
      </w:r>
      <w:r w:rsidRPr="00D76520">
        <w:rPr>
          <w:rFonts w:cs="Times New Roman"/>
          <w:noProof/>
        </w:rPr>
        <w:t xml:space="preserve"> 3(2). 1–19. doi:10.1146/annurev-linguistics-011516-034134. http://www.annualreviews.org/doi/10.1146/annurev-linguistics-011516-034134.</w:t>
      </w:r>
    </w:p>
    <w:p w14:paraId="1C5C82EC"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Beck, David. 2016. Some language-particular terms are comparative concepts. </w:t>
      </w:r>
      <w:r w:rsidRPr="00D76520">
        <w:rPr>
          <w:rFonts w:cs="Times New Roman"/>
          <w:i/>
          <w:iCs/>
          <w:noProof/>
        </w:rPr>
        <w:t>Linguistic Typology</w:t>
      </w:r>
      <w:r w:rsidRPr="00D76520">
        <w:rPr>
          <w:rFonts w:cs="Times New Roman"/>
          <w:noProof/>
        </w:rPr>
        <w:t xml:space="preserve"> 20(2). 395–402. doi:10.1515/lingty-2016-0013.</w:t>
      </w:r>
    </w:p>
    <w:p w14:paraId="2417586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Bickel, Balthasar. 2008. On the scope of the referential hierarchy in the typology of grammatical relations. In Greville G. Corbett &amp; Michael Noonan (eds.), </w:t>
      </w:r>
      <w:r w:rsidRPr="00D76520">
        <w:rPr>
          <w:rFonts w:cs="Times New Roman"/>
          <w:i/>
          <w:iCs/>
          <w:noProof/>
        </w:rPr>
        <w:t>Case and grammatical relations: Papers in honor of Bernard Comrie</w:t>
      </w:r>
      <w:r w:rsidRPr="00D76520">
        <w:rPr>
          <w:rFonts w:cs="Times New Roman"/>
          <w:noProof/>
        </w:rPr>
        <w:t>, vol. 81, 191–200. (Typological Studies in Language). Amsterdam: John Benjamins.</w:t>
      </w:r>
    </w:p>
    <w:p w14:paraId="2EA7118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Blake, Barry J. 2004. </w:t>
      </w:r>
      <w:r w:rsidRPr="00D76520">
        <w:rPr>
          <w:rFonts w:cs="Times New Roman"/>
          <w:i/>
          <w:iCs/>
          <w:noProof/>
        </w:rPr>
        <w:t>Case</w:t>
      </w:r>
      <w:r w:rsidRPr="00D76520">
        <w:rPr>
          <w:rFonts w:cs="Times New Roman"/>
          <w:noProof/>
        </w:rPr>
        <w:t>. 2nd ed. (Cambridge Textbooks in Linguistics). Cambridge: Cambridge University Press.</w:t>
      </w:r>
    </w:p>
    <w:p w14:paraId="5A58450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Boas, Franz. 1911. Introduction. </w:t>
      </w:r>
      <w:r w:rsidRPr="00D76520">
        <w:rPr>
          <w:rFonts w:cs="Times New Roman"/>
          <w:i/>
          <w:iCs/>
          <w:noProof/>
        </w:rPr>
        <w:t>Handbook of American Indian Languages, Part 1</w:t>
      </w:r>
      <w:r w:rsidRPr="00D76520">
        <w:rPr>
          <w:rFonts w:cs="Times New Roman"/>
          <w:noProof/>
        </w:rPr>
        <w:t>. (Bureau of American Ethnology Bulletin 40). Washington, D.C.: Smithsonian Institution.</w:t>
      </w:r>
    </w:p>
    <w:p w14:paraId="075D075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Bois, John W. Du, Wallace L. Chafe, Charles Meyer, Sandra A. Thompson, Robert Englebretson &amp; Mii Martey. 2000. Santa Barbara Corpus of Spoken American English. Philadelphia: Linguistic Data Consortium.</w:t>
      </w:r>
    </w:p>
    <w:p w14:paraId="16EF80B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Broschart, Jürgen. 1997. Why Tongan does it differently: Categorial distinctions in a language without nouns and verbs. </w:t>
      </w:r>
      <w:r w:rsidRPr="00D76520">
        <w:rPr>
          <w:rFonts w:cs="Times New Roman"/>
          <w:i/>
          <w:iCs/>
          <w:noProof/>
        </w:rPr>
        <w:t>Linguistic Typology</w:t>
      </w:r>
      <w:r w:rsidRPr="00D76520">
        <w:rPr>
          <w:rFonts w:cs="Times New Roman"/>
          <w:noProof/>
        </w:rPr>
        <w:t xml:space="preserve"> 1(1997). 123–165. doi:10.1515/lity.1997.1.2.123.</w:t>
      </w:r>
    </w:p>
    <w:p w14:paraId="7D2A3D8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Cauchard, Aurelie. 2017. Describing lexical flexibility in Caac (New Caledonia). </w:t>
      </w:r>
      <w:r w:rsidRPr="00D76520">
        <w:rPr>
          <w:rFonts w:cs="Times New Roman"/>
          <w:i/>
          <w:iCs/>
          <w:noProof/>
        </w:rPr>
        <w:t>Studies in Language</w:t>
      </w:r>
      <w:r w:rsidRPr="00D76520">
        <w:rPr>
          <w:rFonts w:cs="Times New Roman"/>
          <w:noProof/>
        </w:rPr>
        <w:t xml:space="preserve"> 41(2). 521–542. doi:10.1075/sl.41.2.09cau. http://www.jbe-platform.com/content/journals/10.1075/sl.41.2.09cau.</w:t>
      </w:r>
    </w:p>
    <w:p w14:paraId="58875BB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Chafe, Wallace. 2012. Are adjectives universal? The case of Northern Iroquoian. </w:t>
      </w:r>
      <w:r w:rsidRPr="00D76520">
        <w:rPr>
          <w:rFonts w:cs="Times New Roman"/>
          <w:i/>
          <w:iCs/>
          <w:noProof/>
        </w:rPr>
        <w:t>Linguistic Typology</w:t>
      </w:r>
      <w:r w:rsidRPr="00D76520">
        <w:rPr>
          <w:rFonts w:cs="Times New Roman"/>
          <w:noProof/>
        </w:rPr>
        <w:t xml:space="preserve"> 16(1). 1–39. doi:10.1515/lingty-2012-0001.</w:t>
      </w:r>
    </w:p>
    <w:p w14:paraId="5BD5E56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Chung, Sandra. 2012. Are lexical categories universal? The view from Chamorro. </w:t>
      </w:r>
      <w:r w:rsidRPr="00D76520">
        <w:rPr>
          <w:rFonts w:cs="Times New Roman"/>
          <w:i/>
          <w:iCs/>
          <w:noProof/>
        </w:rPr>
        <w:t>Theoretical Linguistics</w:t>
      </w:r>
      <w:r w:rsidRPr="00D76520">
        <w:rPr>
          <w:rFonts w:cs="Times New Roman"/>
          <w:noProof/>
        </w:rPr>
        <w:t xml:space="preserve"> 38(1–2). 1–56. doi:10.1515/tl-2012-0001.</w:t>
      </w:r>
    </w:p>
    <w:p w14:paraId="37CD7DA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Comrie, Bernard. 1978. Ergativity. In Winfred P. Lehmann (ed.), </w:t>
      </w:r>
      <w:r w:rsidRPr="00D76520">
        <w:rPr>
          <w:rFonts w:cs="Times New Roman"/>
          <w:i/>
          <w:iCs/>
          <w:noProof/>
        </w:rPr>
        <w:t>Syntactic typology: Studies in the phenomenology of language</w:t>
      </w:r>
      <w:r w:rsidRPr="00D76520">
        <w:rPr>
          <w:rFonts w:cs="Times New Roman"/>
          <w:noProof/>
        </w:rPr>
        <w:t>, 329–394. Austin: University of Texas Press.</w:t>
      </w:r>
    </w:p>
    <w:p w14:paraId="615B1B9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Comrie, Bernard. 1981. </w:t>
      </w:r>
      <w:r w:rsidRPr="00D76520">
        <w:rPr>
          <w:rFonts w:cs="Times New Roman"/>
          <w:i/>
          <w:iCs/>
          <w:noProof/>
        </w:rPr>
        <w:t>Language universals and linguistic typology: Syntax and morphology</w:t>
      </w:r>
      <w:r w:rsidRPr="00D76520">
        <w:rPr>
          <w:rFonts w:cs="Times New Roman"/>
          <w:noProof/>
        </w:rPr>
        <w:t>. 2nd ed. Chicago: University of Chicago Press.</w:t>
      </w:r>
    </w:p>
    <w:p w14:paraId="7F3EE74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Corbett, Greville G. 2000. </w:t>
      </w:r>
      <w:r w:rsidRPr="00D76520">
        <w:rPr>
          <w:rFonts w:cs="Times New Roman"/>
          <w:i/>
          <w:iCs/>
          <w:noProof/>
        </w:rPr>
        <w:t>Number</w:t>
      </w:r>
      <w:r w:rsidRPr="00D76520">
        <w:rPr>
          <w:rFonts w:cs="Times New Roman"/>
          <w:noProof/>
        </w:rPr>
        <w:t>. (Cambridge Textbooks in Linguistics). Cambridge: Cambridge University Press. doi:10.1017/CBO9781107415324.004.</w:t>
      </w:r>
    </w:p>
    <w:p w14:paraId="2B3B135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1990. A conceptual framework for grammatical categories (or: A taxonomy of propositional acts). </w:t>
      </w:r>
      <w:r w:rsidRPr="00D76520">
        <w:rPr>
          <w:rFonts w:cs="Times New Roman"/>
          <w:i/>
          <w:iCs/>
          <w:noProof/>
        </w:rPr>
        <w:t>Journal of Semantics</w:t>
      </w:r>
      <w:r w:rsidRPr="00D76520">
        <w:rPr>
          <w:rFonts w:cs="Times New Roman"/>
          <w:noProof/>
        </w:rPr>
        <w:t xml:space="preserve"> 7(3). 245–280.</w:t>
      </w:r>
    </w:p>
    <w:p w14:paraId="1462B3C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2000. Parts of speech as language universals and as language-particular </w:t>
      </w:r>
      <w:r w:rsidRPr="00D76520">
        <w:rPr>
          <w:rFonts w:cs="Times New Roman"/>
          <w:noProof/>
        </w:rPr>
        <w:lastRenderedPageBreak/>
        <w:t xml:space="preserve">categories. In Petra M. Vogel &amp; Bernard Comrie (eds.), </w:t>
      </w:r>
      <w:r w:rsidRPr="00D76520">
        <w:rPr>
          <w:rFonts w:cs="Times New Roman"/>
          <w:i/>
          <w:iCs/>
          <w:noProof/>
        </w:rPr>
        <w:t>Approaches to the typology of word classes</w:t>
      </w:r>
      <w:r w:rsidRPr="00D76520">
        <w:rPr>
          <w:rFonts w:cs="Times New Roman"/>
          <w:noProof/>
        </w:rPr>
        <w:t>, 65–102. (Empirical Approaches to Language Typology 23). Berlin: Mouton de Gruyter.</w:t>
      </w:r>
    </w:p>
    <w:p w14:paraId="2997765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2001. </w:t>
      </w:r>
      <w:r w:rsidRPr="00D76520">
        <w:rPr>
          <w:rFonts w:cs="Times New Roman"/>
          <w:i/>
          <w:iCs/>
          <w:noProof/>
        </w:rPr>
        <w:t>Radical Construction Grammar: Syntactic theory in typological perspective</w:t>
      </w:r>
      <w:r w:rsidRPr="00D76520">
        <w:rPr>
          <w:rFonts w:cs="Times New Roman"/>
          <w:noProof/>
        </w:rPr>
        <w:t>. Oxford: Oxford University Press.</w:t>
      </w:r>
    </w:p>
    <w:p w14:paraId="32A4B9E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2002. </w:t>
      </w:r>
      <w:r w:rsidRPr="00D76520">
        <w:rPr>
          <w:rFonts w:cs="Times New Roman"/>
          <w:i/>
          <w:iCs/>
          <w:noProof/>
        </w:rPr>
        <w:t>Typology and universals</w:t>
      </w:r>
      <w:r w:rsidRPr="00D76520">
        <w:rPr>
          <w:rFonts w:cs="Times New Roman"/>
          <w:noProof/>
        </w:rPr>
        <w:t>. 2nd ed. (Cambridge Textbooks in Linguistics). Cambridge: Cambridge University Press.</w:t>
      </w:r>
    </w:p>
    <w:p w14:paraId="747CD73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2005. Word classes, parts of speech, and syntactic argumentation. </w:t>
      </w:r>
      <w:r w:rsidRPr="00D76520">
        <w:rPr>
          <w:rFonts w:cs="Times New Roman"/>
          <w:i/>
          <w:iCs/>
          <w:noProof/>
        </w:rPr>
        <w:t>Linguistic Typology</w:t>
      </w:r>
      <w:r w:rsidRPr="00D76520">
        <w:rPr>
          <w:rFonts w:cs="Times New Roman"/>
          <w:noProof/>
        </w:rPr>
        <w:t xml:space="preserve"> 9(3). 431–441. doi:10.1515/lity.2005.9.3.391.</w:t>
      </w:r>
    </w:p>
    <w:p w14:paraId="745A36D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2016. Comparative concepts and language-specific categories: Theory and practice. </w:t>
      </w:r>
      <w:r w:rsidRPr="00D76520">
        <w:rPr>
          <w:rFonts w:cs="Times New Roman"/>
          <w:i/>
          <w:iCs/>
          <w:noProof/>
        </w:rPr>
        <w:t>Linguistic Typology</w:t>
      </w:r>
      <w:r w:rsidRPr="00D76520">
        <w:rPr>
          <w:rFonts w:cs="Times New Roman"/>
          <w:noProof/>
        </w:rPr>
        <w:t xml:space="preserve"> 20(2). 377–393. doi:10.1515/lingty-2016-0012.</w:t>
      </w:r>
    </w:p>
    <w:p w14:paraId="43F5F34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Croft, William &amp; Eva van Lier. 2012. Language universals without universal categories. </w:t>
      </w:r>
      <w:r w:rsidRPr="00D76520">
        <w:rPr>
          <w:rFonts w:cs="Times New Roman"/>
          <w:i/>
          <w:iCs/>
          <w:noProof/>
        </w:rPr>
        <w:t>Theoretical Linguistics</w:t>
      </w:r>
      <w:r w:rsidRPr="00D76520">
        <w:rPr>
          <w:rFonts w:cs="Times New Roman"/>
          <w:noProof/>
        </w:rPr>
        <w:t xml:space="preserve"> 38(1–2). 57–72. doi:10.1515/tl-2012-0002.</w:t>
      </w:r>
    </w:p>
    <w:p w14:paraId="4D82AE4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Crystal, David. 2008. </w:t>
      </w:r>
      <w:r w:rsidRPr="00D76520">
        <w:rPr>
          <w:rFonts w:cs="Times New Roman"/>
          <w:i/>
          <w:iCs/>
          <w:noProof/>
        </w:rPr>
        <w:t>A dictionary of linguistics and phonetics</w:t>
      </w:r>
      <w:r w:rsidRPr="00D76520">
        <w:rPr>
          <w:rFonts w:cs="Times New Roman"/>
          <w:noProof/>
        </w:rPr>
        <w:t>. 6th ed. (The Language Library). Blackwell.</w:t>
      </w:r>
    </w:p>
    <w:p w14:paraId="2965B31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DeLancey, Scot. 1981. An interpretation of split ergativity and related patterns. </w:t>
      </w:r>
      <w:r w:rsidRPr="00D76520">
        <w:rPr>
          <w:rFonts w:cs="Times New Roman"/>
          <w:i/>
          <w:iCs/>
          <w:noProof/>
        </w:rPr>
        <w:t>Language</w:t>
      </w:r>
      <w:r w:rsidRPr="00D76520">
        <w:rPr>
          <w:rFonts w:cs="Times New Roman"/>
          <w:noProof/>
        </w:rPr>
        <w:t xml:space="preserve"> 57(3). 626–657.</w:t>
      </w:r>
    </w:p>
    <w:p w14:paraId="3D9346A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 M. W. 1979. Ergativity. </w:t>
      </w:r>
      <w:r w:rsidRPr="00D76520">
        <w:rPr>
          <w:rFonts w:cs="Times New Roman"/>
          <w:i/>
          <w:iCs/>
          <w:noProof/>
        </w:rPr>
        <w:t>Language</w:t>
      </w:r>
      <w:r w:rsidRPr="00D76520">
        <w:rPr>
          <w:rFonts w:cs="Times New Roman"/>
          <w:noProof/>
        </w:rPr>
        <w:t xml:space="preserve"> 55(1). 59–138.</w:t>
      </w:r>
    </w:p>
    <w:p w14:paraId="560A465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 M. W. 1994. </w:t>
      </w:r>
      <w:r w:rsidRPr="00D76520">
        <w:rPr>
          <w:rFonts w:cs="Times New Roman"/>
          <w:i/>
          <w:iCs/>
          <w:noProof/>
        </w:rPr>
        <w:t>Ergativity</w:t>
      </w:r>
      <w:r w:rsidRPr="00D76520">
        <w:rPr>
          <w:rFonts w:cs="Times New Roman"/>
          <w:noProof/>
        </w:rPr>
        <w:t>. . Vol. 69. (Cambridge Studies in Linguistics). Cambridge: Cambridge University Press.</w:t>
      </w:r>
    </w:p>
    <w:p w14:paraId="633950F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1977. Where have all the adjectives gone? </w:t>
      </w:r>
      <w:r w:rsidRPr="00D76520">
        <w:rPr>
          <w:rFonts w:cs="Times New Roman"/>
          <w:i/>
          <w:iCs/>
          <w:noProof/>
        </w:rPr>
        <w:t>Studies in Language</w:t>
      </w:r>
      <w:r w:rsidRPr="00D76520">
        <w:rPr>
          <w:rFonts w:cs="Times New Roman"/>
          <w:noProof/>
        </w:rPr>
        <w:t xml:space="preserve"> 1(1). 19–80.</w:t>
      </w:r>
    </w:p>
    <w:p w14:paraId="28E514D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1982. </w:t>
      </w:r>
      <w:r w:rsidRPr="00D76520">
        <w:rPr>
          <w:rFonts w:cs="Times New Roman"/>
          <w:i/>
          <w:iCs/>
          <w:noProof/>
        </w:rPr>
        <w:t>Where have all the adjectives gone? and other essays in Semantics and Syntax</w:t>
      </w:r>
      <w:r w:rsidRPr="00D76520">
        <w:rPr>
          <w:rFonts w:cs="Times New Roman"/>
          <w:noProof/>
        </w:rPr>
        <w:t xml:space="preserve">. </w:t>
      </w:r>
      <w:r w:rsidRPr="00D76520">
        <w:rPr>
          <w:rFonts w:cs="Times New Roman"/>
          <w:i/>
          <w:iCs/>
          <w:noProof/>
        </w:rPr>
        <w:t>Studies in Language</w:t>
      </w:r>
      <w:r w:rsidRPr="00D76520">
        <w:rPr>
          <w:rFonts w:cs="Times New Roman"/>
          <w:noProof/>
        </w:rPr>
        <w:t>. doi:10.1038/014265a0.</w:t>
      </w:r>
    </w:p>
    <w:p w14:paraId="775E2E0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Dixon, Robert M. W. 2004. Adjective classes in typological perspective. In Robert M. W. Dixon &amp; Alexandra Y. Aikhenvald (eds.), </w:t>
      </w:r>
      <w:r w:rsidRPr="00D76520">
        <w:rPr>
          <w:rFonts w:cs="Times New Roman"/>
          <w:i/>
          <w:iCs/>
          <w:noProof/>
        </w:rPr>
        <w:t>Adjective classes: A cross-linguistic typology</w:t>
      </w:r>
      <w:r w:rsidRPr="00D76520">
        <w:rPr>
          <w:rFonts w:cs="Times New Roman"/>
          <w:noProof/>
        </w:rPr>
        <w:t>, 1–49. (Explorations in Linguistic Typology 1). Oxford: Oxford University Press.</w:t>
      </w:r>
    </w:p>
    <w:p w14:paraId="7319019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Don, Jan. 2004. Categories in the lexicon. </w:t>
      </w:r>
      <w:r w:rsidRPr="00D76520">
        <w:rPr>
          <w:rFonts w:cs="Times New Roman"/>
          <w:i/>
          <w:iCs/>
          <w:noProof/>
        </w:rPr>
        <w:t>Linguistics</w:t>
      </w:r>
      <w:r w:rsidRPr="00D76520">
        <w:rPr>
          <w:rFonts w:cs="Times New Roman"/>
          <w:noProof/>
        </w:rPr>
        <w:t xml:space="preserve"> 42(5). 931–956. doi:10.1515/ling.2004.033.</w:t>
      </w:r>
    </w:p>
    <w:p w14:paraId="215F9EB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Don, Jan &amp; Eva van Lier. 2003. Derivation and categorization in flexible and differentiated languages. In Jan Rijkhoff &amp; Eva van Lier (eds.), </w:t>
      </w:r>
      <w:r w:rsidRPr="00D76520">
        <w:rPr>
          <w:rFonts w:cs="Times New Roman"/>
          <w:i/>
          <w:iCs/>
          <w:noProof/>
        </w:rPr>
        <w:t>Flexible word classes: Typological studies of underspecified parts of speech</w:t>
      </w:r>
      <w:r w:rsidRPr="00D76520">
        <w:rPr>
          <w:rFonts w:cs="Times New Roman"/>
          <w:noProof/>
        </w:rPr>
        <w:t>, 56–88. Oxford: Oxford University Press.</w:t>
      </w:r>
    </w:p>
    <w:p w14:paraId="6C5841E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Dorvlo, Kofi. 2009. Does Logba have an adjective class? . 95–105.</w:t>
      </w:r>
    </w:p>
    <w:p w14:paraId="10E5CF1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Eijk, Jan P. Van &amp; Thom Hess. 1986. Noun and verb in Salish. </w:t>
      </w:r>
      <w:r w:rsidRPr="00D76520">
        <w:rPr>
          <w:rFonts w:cs="Times New Roman"/>
          <w:i/>
          <w:iCs/>
          <w:noProof/>
        </w:rPr>
        <w:t>Lingua</w:t>
      </w:r>
      <w:r w:rsidRPr="00D76520">
        <w:rPr>
          <w:rFonts w:cs="Times New Roman"/>
          <w:noProof/>
        </w:rPr>
        <w:t xml:space="preserve"> 69(4). 319–331. doi:10.1016/0024-3841(86)90061-6.</w:t>
      </w:r>
    </w:p>
    <w:p w14:paraId="5B4706A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Evans, Nicholas &amp; Toshiki Osada. 2005. Mundari: The myth of a language without word classes. </w:t>
      </w:r>
      <w:r w:rsidRPr="00D76520">
        <w:rPr>
          <w:rFonts w:cs="Times New Roman"/>
          <w:i/>
          <w:iCs/>
          <w:noProof/>
        </w:rPr>
        <w:t>Linguistic Typology</w:t>
      </w:r>
      <w:r w:rsidRPr="00D76520">
        <w:rPr>
          <w:rFonts w:cs="Times New Roman"/>
          <w:noProof/>
        </w:rPr>
        <w:t xml:space="preserve"> 9(2005). 351–390. doi:10.1515/lity.2005.9.3.351.</w:t>
      </w:r>
    </w:p>
    <w:p w14:paraId="4ED789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Farrell, Patrick. 2001. Functional shift as category underspecification. </w:t>
      </w:r>
      <w:r w:rsidRPr="00D76520">
        <w:rPr>
          <w:rFonts w:cs="Times New Roman"/>
          <w:i/>
          <w:iCs/>
          <w:noProof/>
        </w:rPr>
        <w:t>English Language &amp; Linguistics</w:t>
      </w:r>
      <w:r w:rsidRPr="00D76520">
        <w:rPr>
          <w:rFonts w:cs="Times New Roman"/>
          <w:noProof/>
        </w:rPr>
        <w:t xml:space="preserve"> 5(1). 109–130. doi:10.1017/S1360674301000156.</w:t>
      </w:r>
    </w:p>
    <w:p w14:paraId="3DB02F7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lastRenderedPageBreak/>
        <w:t xml:space="preserve">Filimonova, Elena. 2005. The noun phrase hierarchy and relational marking: Problems and counterevidence. </w:t>
      </w:r>
      <w:r w:rsidRPr="00D76520">
        <w:rPr>
          <w:rFonts w:cs="Times New Roman"/>
          <w:i/>
          <w:iCs/>
          <w:noProof/>
        </w:rPr>
        <w:t>Linguistic Typology</w:t>
      </w:r>
      <w:r w:rsidRPr="00D76520">
        <w:rPr>
          <w:rFonts w:cs="Times New Roman"/>
          <w:noProof/>
        </w:rPr>
        <w:t xml:space="preserve"> 9(1). 77–113. doi:10.1515/lity.2005.9.1.77.</w:t>
      </w:r>
    </w:p>
    <w:p w14:paraId="2B19362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Floyd, Simeon. 2011. Re-discovering the Quechua adjective. </w:t>
      </w:r>
      <w:r w:rsidRPr="00D76520">
        <w:rPr>
          <w:rFonts w:cs="Times New Roman"/>
          <w:i/>
          <w:iCs/>
          <w:noProof/>
        </w:rPr>
        <w:t>Linguistic Typology</w:t>
      </w:r>
      <w:r w:rsidRPr="00D76520">
        <w:rPr>
          <w:rFonts w:cs="Times New Roman"/>
          <w:noProof/>
        </w:rPr>
        <w:t xml:space="preserve"> 15(1). 25–63. doi:10.1515/LITY.2011.003.</w:t>
      </w:r>
    </w:p>
    <w:p w14:paraId="01404FA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François, Alexandre. 2017. The economy of word classes in Hiw, Vanuatu. </w:t>
      </w:r>
      <w:r w:rsidRPr="00D76520">
        <w:rPr>
          <w:rFonts w:cs="Times New Roman"/>
          <w:i/>
          <w:iCs/>
          <w:noProof/>
        </w:rPr>
        <w:t>Studies in Language</w:t>
      </w:r>
      <w:r w:rsidRPr="00D76520">
        <w:rPr>
          <w:rFonts w:cs="Times New Roman"/>
          <w:noProof/>
        </w:rPr>
        <w:t xml:space="preserve"> 41(2). 294–357. doi:10.1075/sl.41.2.03fra. http://www.jbe-platform.com/content/journals/10.1075/sl.41.2.03fra.</w:t>
      </w:r>
    </w:p>
    <w:p w14:paraId="1B3CF52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Gil, David. 2005. Isolating-monocategorial-associational language. In Henri Cohen &amp; Claire Lefebvre (eds.), </w:t>
      </w:r>
      <w:r w:rsidRPr="00D76520">
        <w:rPr>
          <w:rFonts w:cs="Times New Roman"/>
          <w:i/>
          <w:iCs/>
          <w:noProof/>
        </w:rPr>
        <w:t>Handbook of categorization in cognitive science</w:t>
      </w:r>
      <w:r w:rsidRPr="00D76520">
        <w:rPr>
          <w:rFonts w:cs="Times New Roman"/>
          <w:noProof/>
        </w:rPr>
        <w:t>, 348–377. Amsterdam: Elsevier.</w:t>
      </w:r>
    </w:p>
    <w:p w14:paraId="0C952B6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Givón, Talmy. 1979. </w:t>
      </w:r>
      <w:r w:rsidRPr="00D76520">
        <w:rPr>
          <w:rFonts w:cs="Times New Roman"/>
          <w:i/>
          <w:iCs/>
          <w:noProof/>
        </w:rPr>
        <w:t>On understanding grammar</w:t>
      </w:r>
      <w:r w:rsidRPr="00D76520">
        <w:rPr>
          <w:rFonts w:cs="Times New Roman"/>
          <w:noProof/>
        </w:rPr>
        <w:t>. (Perspectives in Neurolinguistics &amp; Psycholinguistics). New York: Academic Press.</w:t>
      </w:r>
    </w:p>
    <w:p w14:paraId="51AE5AF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Harris, Zellig. 1951. </w:t>
      </w:r>
      <w:r w:rsidRPr="00D76520">
        <w:rPr>
          <w:rFonts w:cs="Times New Roman"/>
          <w:i/>
          <w:iCs/>
          <w:noProof/>
        </w:rPr>
        <w:t>Methods in structural linguistics</w:t>
      </w:r>
      <w:r w:rsidRPr="00D76520">
        <w:rPr>
          <w:rFonts w:cs="Times New Roman"/>
          <w:noProof/>
        </w:rPr>
        <w:t>. Chicago: University of Chicago Press.</w:t>
      </w:r>
    </w:p>
    <w:p w14:paraId="28E5217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2007. Pre-established categories don’t exist: Consequences for language description and typology. </w:t>
      </w:r>
      <w:r w:rsidRPr="00D76520">
        <w:rPr>
          <w:rFonts w:cs="Times New Roman"/>
          <w:i/>
          <w:iCs/>
          <w:noProof/>
        </w:rPr>
        <w:t>Linguistic Typology</w:t>
      </w:r>
      <w:r w:rsidRPr="00D76520">
        <w:rPr>
          <w:rFonts w:cs="Times New Roman"/>
          <w:noProof/>
        </w:rPr>
        <w:t xml:space="preserve"> 11(1). 119–132. doi:10.1515/LINGTY.2007.011.</w:t>
      </w:r>
    </w:p>
    <w:p w14:paraId="7942B9E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2010. The interplay between comparative concepts and descriptive categories (Reply to Newmeyer). </w:t>
      </w:r>
      <w:r w:rsidRPr="00D76520">
        <w:rPr>
          <w:rFonts w:cs="Times New Roman"/>
          <w:i/>
          <w:iCs/>
          <w:noProof/>
        </w:rPr>
        <w:t>Language</w:t>
      </w:r>
      <w:r w:rsidRPr="00D76520">
        <w:rPr>
          <w:rFonts w:cs="Times New Roman"/>
          <w:noProof/>
        </w:rPr>
        <w:t xml:space="preserve"> 86(3). 696–699. doi:10.1353/lan.2010.0021. http://muse.jhu.edu/content/crossref/journals/language/v086/86.3.haspelmath01.html.</w:t>
      </w:r>
    </w:p>
    <w:p w14:paraId="0FE20E8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Haspelmath, Martin. 2014. (Non-)universality of word-classes and words: The mid-20th century shift. </w:t>
      </w:r>
      <w:r w:rsidRPr="00D76520">
        <w:rPr>
          <w:rFonts w:cs="Times New Roman"/>
          <w:i/>
          <w:iCs/>
          <w:noProof/>
        </w:rPr>
        <w:t>History &amp; Philosophy of the Language Sciences</w:t>
      </w:r>
      <w:r w:rsidRPr="00D76520">
        <w:rPr>
          <w:rFonts w:cs="Times New Roman"/>
          <w:noProof/>
        </w:rPr>
        <w:t>. https://hiphilangsci.net/2014/10/08/non-universality-of-word-classes-and-words-the-mid-20th-century-shift/.</w:t>
      </w:r>
    </w:p>
    <w:p w14:paraId="6E53715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1992. </w:t>
      </w:r>
      <w:r w:rsidRPr="00D76520">
        <w:rPr>
          <w:rFonts w:cs="Times New Roman"/>
          <w:i/>
          <w:iCs/>
          <w:noProof/>
        </w:rPr>
        <w:t>Non-verbal predication: Theory, typology, diachrony</w:t>
      </w:r>
      <w:r w:rsidRPr="00D76520">
        <w:rPr>
          <w:rFonts w:cs="Times New Roman"/>
          <w:noProof/>
        </w:rPr>
        <w:t>. (Functional Grammar Series 15). Berlin: Mouton de Gruyter.</w:t>
      </w:r>
    </w:p>
    <w:p w14:paraId="1230B1F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&amp; Jan Rijkhoff. 2005. Mundari as a flexible language. </w:t>
      </w:r>
      <w:r w:rsidRPr="00D76520">
        <w:rPr>
          <w:rFonts w:cs="Times New Roman"/>
          <w:i/>
          <w:iCs/>
          <w:noProof/>
        </w:rPr>
        <w:t>Linguistic Typology</w:t>
      </w:r>
      <w:r w:rsidRPr="00D76520">
        <w:rPr>
          <w:rFonts w:cs="Times New Roman"/>
          <w:noProof/>
        </w:rPr>
        <w:t xml:space="preserve"> 9(3). 406–431. doi:10.1515/lity.2005.9.3.391.</w:t>
      </w:r>
    </w:p>
    <w:p w14:paraId="7128E92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Hengeveld, Kees, Jan Rijkhoff &amp; Anna Siewierska. 2004. Parts-of-speech systems and word order. </w:t>
      </w:r>
      <w:r w:rsidRPr="00D76520">
        <w:rPr>
          <w:rFonts w:cs="Times New Roman"/>
          <w:i/>
          <w:iCs/>
          <w:noProof/>
        </w:rPr>
        <w:t>Journal of Linguistics</w:t>
      </w:r>
      <w:r w:rsidRPr="00D76520">
        <w:rPr>
          <w:rFonts w:cs="Times New Roman"/>
          <w:noProof/>
        </w:rPr>
        <w:t xml:space="preserve"> 40(3). 527–570. doi:10.1017/S0022226704002762.</w:t>
      </w:r>
    </w:p>
    <w:p w14:paraId="4986ABB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Holton, Gary. 1999. Categoriality of property words in a switch-adjective language. </w:t>
      </w:r>
      <w:r w:rsidRPr="00D76520">
        <w:rPr>
          <w:rFonts w:cs="Times New Roman"/>
          <w:i/>
          <w:iCs/>
          <w:noProof/>
        </w:rPr>
        <w:t>Linguistic Typology</w:t>
      </w:r>
      <w:r w:rsidRPr="00D76520">
        <w:rPr>
          <w:rFonts w:cs="Times New Roman"/>
          <w:noProof/>
        </w:rPr>
        <w:t xml:space="preserve"> 3(3). 341–360. doi:10.1515/lity.1999.3.3.341. http://www.degruyter.com/view/j/lity.1999.3.issue-3/lity.1999.3.3.341/lity.1999.3.3.341.xml.</w:t>
      </w:r>
    </w:p>
    <w:p w14:paraId="4E760D8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Hopper, Paul J. &amp; Sandra A. Thompson. 1984. The discourse basis for lexical categories in Universal Grammar. </w:t>
      </w:r>
      <w:r w:rsidRPr="00D76520">
        <w:rPr>
          <w:rFonts w:cs="Times New Roman"/>
          <w:i/>
          <w:iCs/>
          <w:noProof/>
        </w:rPr>
        <w:t>Language</w:t>
      </w:r>
      <w:r w:rsidRPr="00D76520">
        <w:rPr>
          <w:rFonts w:cs="Times New Roman"/>
          <w:noProof/>
        </w:rPr>
        <w:t xml:space="preserve"> 60(4). 703–752. doi:10.1371/journal.pone.0005772. http://www.jstor.org/stable/413797.</w:t>
      </w:r>
    </w:p>
    <w:p w14:paraId="21F0E40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Hopper, Paul J. &amp; Elizabeth Closs Traugott. 2003. </w:t>
      </w:r>
      <w:r w:rsidRPr="00D76520">
        <w:rPr>
          <w:rFonts w:cs="Times New Roman"/>
          <w:i/>
          <w:iCs/>
          <w:noProof/>
        </w:rPr>
        <w:t>Grammaticalization</w:t>
      </w:r>
      <w:r w:rsidRPr="00D76520">
        <w:rPr>
          <w:rFonts w:cs="Times New Roman"/>
          <w:noProof/>
        </w:rPr>
        <w:t>. 2nd ed. (Cambridge Textbooks in Linguistics). Cambridge: Cambridge University Press.</w:t>
      </w:r>
    </w:p>
    <w:p w14:paraId="3168DC6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Jacobsen, William H. 1979. Noun and verb in Nootkan. In Barbara S. Efrat (ed.), </w:t>
      </w:r>
      <w:r w:rsidRPr="00D76520">
        <w:rPr>
          <w:rFonts w:cs="Times New Roman"/>
          <w:i/>
          <w:iCs/>
          <w:noProof/>
        </w:rPr>
        <w:t>The Victoria conference on northwestern languages</w:t>
      </w:r>
      <w:r w:rsidRPr="00D76520">
        <w:rPr>
          <w:rFonts w:cs="Times New Roman"/>
          <w:noProof/>
        </w:rPr>
        <w:t xml:space="preserve">, 83–155. Victoria, B.C.: British Columbia Provincial </w:t>
      </w:r>
      <w:r w:rsidRPr="00D76520">
        <w:rPr>
          <w:rFonts w:cs="Times New Roman"/>
          <w:noProof/>
        </w:rPr>
        <w:lastRenderedPageBreak/>
        <w:t>Museum.</w:t>
      </w:r>
    </w:p>
    <w:p w14:paraId="1EDC189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Kinkade, M. Dale. 1983. Salish evidence against the universality of “noun” and “verb.” </w:t>
      </w:r>
      <w:r w:rsidRPr="00D76520">
        <w:rPr>
          <w:rFonts w:cs="Times New Roman"/>
          <w:i/>
          <w:iCs/>
          <w:noProof/>
        </w:rPr>
        <w:t>Lingua</w:t>
      </w:r>
      <w:r w:rsidRPr="00D76520">
        <w:rPr>
          <w:rFonts w:cs="Times New Roman"/>
          <w:noProof/>
        </w:rPr>
        <w:t xml:space="preserve"> 60(1). 25–39. doi:10.1016/0024-3841(83)90045-1.</w:t>
      </w:r>
    </w:p>
    <w:p w14:paraId="7CA7082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Koch, Karsten &amp; Lisa Matthewson. 2009. The lexical category debate in Salish and its relevance for Tagalog. </w:t>
      </w:r>
      <w:r w:rsidRPr="00D76520">
        <w:rPr>
          <w:rFonts w:cs="Times New Roman"/>
          <w:i/>
          <w:iCs/>
          <w:noProof/>
        </w:rPr>
        <w:t>Theoretical Linguistics</w:t>
      </w:r>
      <w:r w:rsidRPr="00D76520">
        <w:rPr>
          <w:rFonts w:cs="Times New Roman"/>
          <w:noProof/>
        </w:rPr>
        <w:t xml:space="preserve"> 35(1). 125–137. doi:10.1515/THLI.2009.007.</w:t>
      </w:r>
    </w:p>
    <w:p w14:paraId="2EF1AB9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Kuipers, Aert H. 1968. The categories verb-noun and transitive-intransitive in English and Squamish. </w:t>
      </w:r>
      <w:r w:rsidRPr="00D76520">
        <w:rPr>
          <w:rFonts w:cs="Times New Roman"/>
          <w:i/>
          <w:iCs/>
          <w:noProof/>
        </w:rPr>
        <w:t>Lingua</w:t>
      </w:r>
      <w:r w:rsidRPr="00D76520">
        <w:rPr>
          <w:rFonts w:cs="Times New Roman"/>
          <w:noProof/>
        </w:rPr>
        <w:t xml:space="preserve"> 21. 610–626. doi:10.1016/0024-3841(68)90080-6.</w:t>
      </w:r>
    </w:p>
    <w:p w14:paraId="084FD86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Lakoff, George. 1987. </w:t>
      </w:r>
      <w:r w:rsidRPr="00D76520">
        <w:rPr>
          <w:rFonts w:cs="Times New Roman"/>
          <w:i/>
          <w:iCs/>
          <w:noProof/>
        </w:rPr>
        <w:t>Women, fire, and dangerous things: What categories reveal about the mind</w:t>
      </w:r>
      <w:r w:rsidRPr="00D76520">
        <w:rPr>
          <w:rFonts w:cs="Times New Roman"/>
          <w:noProof/>
        </w:rPr>
        <w:t xml:space="preserve">. </w:t>
      </w:r>
      <w:r w:rsidRPr="00D76520">
        <w:rPr>
          <w:rFonts w:cs="Times New Roman"/>
          <w:i/>
          <w:iCs/>
          <w:noProof/>
        </w:rPr>
        <w:t>Mind &amp; Language</w:t>
      </w:r>
      <w:r w:rsidRPr="00D76520">
        <w:rPr>
          <w:rFonts w:cs="Times New Roman"/>
          <w:noProof/>
        </w:rPr>
        <w:t>. Chicago: University of Chicago Press. doi:10.1111/j.1468-0017.1989.tb00245.x.</w:t>
      </w:r>
    </w:p>
    <w:p w14:paraId="7A2CE0FE"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Lichtenberk, Frank. 2017. Lexical and grammatical flexibility in Toqabaqita. </w:t>
      </w:r>
      <w:r w:rsidRPr="00D76520">
        <w:rPr>
          <w:rFonts w:cs="Times New Roman"/>
          <w:i/>
          <w:iCs/>
          <w:noProof/>
        </w:rPr>
        <w:t>Studies in Language</w:t>
      </w:r>
      <w:r w:rsidRPr="00D76520">
        <w:rPr>
          <w:rFonts w:cs="Times New Roman"/>
          <w:noProof/>
        </w:rPr>
        <w:t xml:space="preserve"> 41(2). 496–501. doi:10.1075/sl.41.2.07lic. http://www.jbe-platform.com/content/journals/10.1075/sl.41.2.07lic.</w:t>
      </w:r>
    </w:p>
    <w:p w14:paraId="26C075B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2006. </w:t>
      </w:r>
      <w:r w:rsidRPr="00D76520">
        <w:rPr>
          <w:rFonts w:cs="Times New Roman"/>
          <w:i/>
          <w:iCs/>
          <w:noProof/>
        </w:rPr>
        <w:t>Parts-of-speech systems and dependent clauses: A typological study</w:t>
      </w:r>
      <w:r w:rsidRPr="00D76520">
        <w:rPr>
          <w:rFonts w:cs="Times New Roman"/>
          <w:noProof/>
        </w:rPr>
        <w:t xml:space="preserve">. </w:t>
      </w:r>
      <w:r w:rsidRPr="00D76520">
        <w:rPr>
          <w:rFonts w:cs="Times New Roman"/>
          <w:i/>
          <w:iCs/>
          <w:noProof/>
        </w:rPr>
        <w:t>Folia Linguistica</w:t>
      </w:r>
      <w:r w:rsidRPr="00D76520">
        <w:rPr>
          <w:rFonts w:cs="Times New Roman"/>
          <w:noProof/>
        </w:rPr>
        <w:t>. Vol. 40. doi:10.1515/flin.40.3-4.239.</w:t>
      </w:r>
    </w:p>
    <w:p w14:paraId="407101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2016. Lexical flexibility in Oceanic languages. </w:t>
      </w:r>
      <w:r w:rsidRPr="00D76520">
        <w:rPr>
          <w:rFonts w:cs="Times New Roman"/>
          <w:i/>
          <w:iCs/>
          <w:noProof/>
        </w:rPr>
        <w:t>Linguistic Typology</w:t>
      </w:r>
      <w:r w:rsidRPr="00D76520">
        <w:rPr>
          <w:rFonts w:cs="Times New Roman"/>
          <w:noProof/>
        </w:rPr>
        <w:t xml:space="preserve"> 20(2). 197–232. doi:10.1515/lingty-2016-0005.</w:t>
      </w:r>
    </w:p>
    <w:p w14:paraId="4A40C2E1"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(ed.). 2017. </w:t>
      </w:r>
      <w:r w:rsidRPr="00D76520">
        <w:rPr>
          <w:rFonts w:cs="Times New Roman"/>
          <w:i/>
          <w:iCs/>
          <w:noProof/>
        </w:rPr>
        <w:t>Lexical flexibility in Oceanic languages</w:t>
      </w:r>
      <w:r w:rsidRPr="00D76520">
        <w:rPr>
          <w:rFonts w:cs="Times New Roman"/>
          <w:noProof/>
        </w:rPr>
        <w:t>. . Vol. 41. (Studies in Language). Amsterdam: John Benjamins.</w:t>
      </w:r>
    </w:p>
    <w:p w14:paraId="3181161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 van &amp; Jan Rijkhoff. 2013. Flexible word classes in linguistic typology and grammatical theory. In Eva van Lier &amp; Jan Rijkhoff (eds.), </w:t>
      </w:r>
      <w:r w:rsidRPr="00D76520">
        <w:rPr>
          <w:rFonts w:cs="Times New Roman"/>
          <w:i/>
          <w:iCs/>
          <w:noProof/>
        </w:rPr>
        <w:t>Flexible word classes: Typological studies of underspecified parts of speech</w:t>
      </w:r>
      <w:r w:rsidRPr="00D76520">
        <w:rPr>
          <w:rFonts w:cs="Times New Roman"/>
          <w:noProof/>
        </w:rPr>
        <w:t>, 1–30. Oxford: Oxford University Press.</w:t>
      </w:r>
    </w:p>
    <w:p w14:paraId="40386C5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Lier, Evan van. 2017. Introduction: Lexical flexibility in Oceanic languages. </w:t>
      </w:r>
      <w:r w:rsidRPr="00D76520">
        <w:rPr>
          <w:rFonts w:cs="Times New Roman"/>
          <w:i/>
          <w:iCs/>
          <w:noProof/>
        </w:rPr>
        <w:t>Studies in Language</w:t>
      </w:r>
      <w:r w:rsidRPr="00D76520">
        <w:rPr>
          <w:rFonts w:cs="Times New Roman"/>
          <w:noProof/>
        </w:rPr>
        <w:t xml:space="preserve"> 41(2). 241–254. doi:10.1075/sl.41.2.01van. http://www.jbe-platform.com/content/journals/10.1075/sl.41.2.01van.</w:t>
      </w:r>
    </w:p>
    <w:p w14:paraId="4FA0D0C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Luuk, Erkki. 2010. Nouns, verbs and flexibles: Implications for typologies of word classes. </w:t>
      </w:r>
      <w:r w:rsidRPr="00D76520">
        <w:rPr>
          <w:rFonts w:cs="Times New Roman"/>
          <w:i/>
          <w:iCs/>
          <w:noProof/>
        </w:rPr>
        <w:t>Language Sciences</w:t>
      </w:r>
      <w:r w:rsidRPr="00D76520">
        <w:rPr>
          <w:rFonts w:cs="Times New Roman"/>
          <w:noProof/>
        </w:rPr>
        <w:t xml:space="preserve"> 32(3). Elsevier Ltd. 349–365. doi:10.1016/j.langsci.2009.02.001. http://dx.doi.org/10.1016/j.langsci.2009.02.001.</w:t>
      </w:r>
    </w:p>
    <w:p w14:paraId="6775F1E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Lyons, John. 1977. </w:t>
      </w:r>
      <w:r w:rsidRPr="00D76520">
        <w:rPr>
          <w:rFonts w:cs="Times New Roman"/>
          <w:i/>
          <w:iCs/>
          <w:noProof/>
        </w:rPr>
        <w:t>Semantics</w:t>
      </w:r>
      <w:r w:rsidRPr="00D76520">
        <w:rPr>
          <w:rFonts w:cs="Times New Roman"/>
          <w:noProof/>
        </w:rPr>
        <w:t>. . Vol. 2. Cambridge: Cambridge University Press.</w:t>
      </w:r>
    </w:p>
    <w:p w14:paraId="32CD163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Mallinson, G. &amp; B. J. Blake. 1981. </w:t>
      </w:r>
      <w:r w:rsidRPr="00D76520">
        <w:rPr>
          <w:rFonts w:cs="Times New Roman"/>
          <w:i/>
          <w:iCs/>
          <w:noProof/>
        </w:rPr>
        <w:t>Language typology: Cross-linguistic studies in syntax</w:t>
      </w:r>
      <w:r w:rsidRPr="00D76520">
        <w:rPr>
          <w:rFonts w:cs="Times New Roman"/>
          <w:noProof/>
        </w:rPr>
        <w:t>. Oxford: North-Holland.</w:t>
      </w:r>
    </w:p>
    <w:p w14:paraId="00D8F3E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McDonald, Edward. 2013. The creation of “parts of speech” for Chinese: “Translingual practice” across Graeco-Roman and Sinitic traditions. </w:t>
      </w:r>
      <w:r w:rsidRPr="00D76520">
        <w:rPr>
          <w:rFonts w:cs="Times New Roman"/>
          <w:i/>
          <w:iCs/>
          <w:noProof/>
        </w:rPr>
        <w:t>History &amp; Philosophy of the Language Sciences</w:t>
      </w:r>
      <w:r w:rsidRPr="00D76520">
        <w:rPr>
          <w:rFonts w:cs="Times New Roman"/>
          <w:noProof/>
        </w:rPr>
        <w:t>. https://hiphilangsci.net/2013/06/12/the-creation-of-parts-of-speech-for-chinese-translingual-practice-across-graeco-roman-and-sinitic-traditions/.</w:t>
      </w:r>
    </w:p>
    <w:p w14:paraId="1E127F5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McGregor, William B. 2013. Lexical categories in Gooniyandi, Kimberley, Western Australia. In Jan Rijkhoff &amp; Eva van Lier (eds.), </w:t>
      </w:r>
      <w:r w:rsidRPr="00D76520">
        <w:rPr>
          <w:rFonts w:cs="Times New Roman"/>
          <w:i/>
          <w:iCs/>
          <w:noProof/>
        </w:rPr>
        <w:t>Flexible word classes: Typological studies of underspecified parts of speech</w:t>
      </w:r>
      <w:r w:rsidRPr="00D76520">
        <w:rPr>
          <w:rFonts w:cs="Times New Roman"/>
          <w:noProof/>
        </w:rPr>
        <w:t>, 221–246. Oxford: Oxford University Press.</w:t>
      </w:r>
    </w:p>
    <w:p w14:paraId="46AB5DC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1999. </w:t>
      </w:r>
      <w:r w:rsidRPr="00D76520">
        <w:rPr>
          <w:rFonts w:cs="Times New Roman"/>
          <w:i/>
          <w:iCs/>
          <w:noProof/>
        </w:rPr>
        <w:t>The languages of Native North America</w:t>
      </w:r>
      <w:r w:rsidRPr="00D76520">
        <w:rPr>
          <w:rFonts w:cs="Times New Roman"/>
          <w:noProof/>
        </w:rPr>
        <w:t xml:space="preserve">. Cambridge: Cambridge </w:t>
      </w:r>
      <w:r w:rsidRPr="00D76520">
        <w:rPr>
          <w:rFonts w:cs="Times New Roman"/>
          <w:noProof/>
        </w:rPr>
        <w:lastRenderedPageBreak/>
        <w:t>University Press.</w:t>
      </w:r>
    </w:p>
    <w:p w14:paraId="3739A3B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2000. Noun and verb in Iroquoian languages: Multicategorisation from multiple criteria. In Petra M. Vogel &amp; Bernard Comrie (eds.), </w:t>
      </w:r>
      <w:r w:rsidRPr="00D76520">
        <w:rPr>
          <w:rFonts w:cs="Times New Roman"/>
          <w:i/>
          <w:iCs/>
          <w:noProof/>
        </w:rPr>
        <w:t>Approaches to the typology of word classes</w:t>
      </w:r>
      <w:r w:rsidRPr="00D76520">
        <w:rPr>
          <w:rFonts w:cs="Times New Roman"/>
          <w:noProof/>
        </w:rPr>
        <w:t>, 397–420. (Empirical Approaches to Language Typology 23). Berlin: Walter de Gruyter.</w:t>
      </w:r>
    </w:p>
    <w:p w14:paraId="3949EAB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2012. Core argument patterns and deep genetic relations: Hierarchical systems in Northern California. In Pirkko Suihkonen, Bernard Comrie &amp; Valery Solovyev (eds.), </w:t>
      </w:r>
      <w:r w:rsidRPr="00D76520">
        <w:rPr>
          <w:rFonts w:cs="Times New Roman"/>
          <w:i/>
          <w:iCs/>
          <w:noProof/>
        </w:rPr>
        <w:t>Argument structure and grammatical relations: A crosslinguistic typology</w:t>
      </w:r>
      <w:r w:rsidRPr="00D76520">
        <w:rPr>
          <w:rFonts w:cs="Times New Roman"/>
          <w:noProof/>
        </w:rPr>
        <w:t>, 257–294. (Studies in Language Companion Series 126). Amsterdam: John Benjamins.</w:t>
      </w:r>
    </w:p>
    <w:p w14:paraId="63BD218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2013. Prosody and independence: Free and bound person marking. In Dik Bakker &amp; Martin Haspelmath (eds.), </w:t>
      </w:r>
      <w:r w:rsidRPr="00D76520">
        <w:rPr>
          <w:rFonts w:cs="Times New Roman"/>
          <w:i/>
          <w:iCs/>
          <w:noProof/>
        </w:rPr>
        <w:t>Languages across boundaries: Studies in memory of Anna Siewierska</w:t>
      </w:r>
      <w:r w:rsidRPr="00D76520">
        <w:rPr>
          <w:rFonts w:cs="Times New Roman"/>
          <w:noProof/>
        </w:rPr>
        <w:t>, 291–312. Berlin: Mouton de Gruyter.</w:t>
      </w:r>
    </w:p>
    <w:p w14:paraId="69BD003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Mithun, Marianne. 2017. Polycategoriality and zero derivation: Insights from Central Alaskan Yup’ik Eskimo. In Valentina Vapnarsky &amp; Edy Veneziano (eds.), </w:t>
      </w:r>
      <w:r w:rsidRPr="00D76520">
        <w:rPr>
          <w:rFonts w:cs="Times New Roman"/>
          <w:i/>
          <w:iCs/>
          <w:noProof/>
        </w:rPr>
        <w:t>Lexical polycategoriality: Cross-linguistic, cross-theoretical, and language acquisition approaches</w:t>
      </w:r>
      <w:r w:rsidRPr="00D76520">
        <w:rPr>
          <w:rFonts w:cs="Times New Roman"/>
          <w:noProof/>
        </w:rPr>
        <w:t>, vol. 182, 155–176. (Studies in Language Companion Series). Amsterdam: John Benjamins. doi:10.1075/slcs.182.</w:t>
      </w:r>
    </w:p>
    <w:p w14:paraId="12BEA16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Nakayama, Toshihide. 1997. Discourse-pragmatic dynamism in Nuu-chah-nulth (Nootka) morphosyntax. University of California, Santa Barbara. doi:10.16953/deusbed.74839.</w:t>
      </w:r>
    </w:p>
    <w:p w14:paraId="36423785"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Nakayama, Toshihide. 2002. </w:t>
      </w:r>
      <w:r w:rsidRPr="00D76520">
        <w:rPr>
          <w:rFonts w:cs="Times New Roman"/>
          <w:i/>
          <w:iCs/>
          <w:noProof/>
        </w:rPr>
        <w:t>Nuuchahnulth (Nootka) morphosyntax</w:t>
      </w:r>
      <w:r w:rsidRPr="00D76520">
        <w:rPr>
          <w:rFonts w:cs="Times New Roman"/>
          <w:noProof/>
        </w:rPr>
        <w:t>. (University of California Publications in Linguistics 134). Berkeley: University of California Press.</w:t>
      </w:r>
    </w:p>
    <w:p w14:paraId="2558BA04"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Palmer, Bill. 2017. Categorial flexibility as an artefact of the analysis. </w:t>
      </w:r>
      <w:r w:rsidRPr="00D76520">
        <w:rPr>
          <w:rFonts w:cs="Times New Roman"/>
          <w:i/>
          <w:iCs/>
          <w:noProof/>
        </w:rPr>
        <w:t>Studies in Language</w:t>
      </w:r>
      <w:r w:rsidRPr="00D76520">
        <w:rPr>
          <w:rFonts w:cs="Times New Roman"/>
          <w:noProof/>
        </w:rPr>
        <w:t xml:space="preserve"> 41(2). 408–444. doi:10.1075/sl.41.2.05pal. http://www.jbe-platform.com/content/journals/10.1075/sl.41.2.05pal.</w:t>
      </w:r>
    </w:p>
    <w:p w14:paraId="57E4F6F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Pustet, Regina. 2000. How arbitrary is lexical categorization? Verbs vs. adjectives. </w:t>
      </w:r>
      <w:r w:rsidRPr="00D76520">
        <w:rPr>
          <w:rFonts w:cs="Times New Roman"/>
          <w:i/>
          <w:iCs/>
          <w:noProof/>
        </w:rPr>
        <w:t>Linguistic Typology</w:t>
      </w:r>
      <w:r w:rsidRPr="00D76520">
        <w:rPr>
          <w:rFonts w:cs="Times New Roman"/>
          <w:noProof/>
        </w:rPr>
        <w:t xml:space="preserve"> 4(2). 175–212. doi:10.1515/lity.2000.4.2.175. http://www.degruyter.com/view/j/lity.2000.4.issue-2/lity.2000.4.2.175/lity.2000.4.2.175.xml.</w:t>
      </w:r>
    </w:p>
    <w:p w14:paraId="05E3D89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Ramat, Paolo. 2009. How universal are linguistic categories? </w:t>
      </w:r>
      <w:r w:rsidRPr="00D76520">
        <w:rPr>
          <w:rFonts w:cs="Times New Roman"/>
          <w:i/>
          <w:iCs/>
          <w:noProof/>
        </w:rPr>
        <w:t>Universals of language today</w:t>
      </w:r>
      <w:r w:rsidRPr="00D76520">
        <w:rPr>
          <w:rFonts w:cs="Times New Roman"/>
          <w:noProof/>
        </w:rPr>
        <w:t>, 1–12. (Studies in Natural Language &amp; Linguistic Theory 76). Springer.</w:t>
      </w:r>
    </w:p>
    <w:p w14:paraId="10FA12A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Rauh, Gisa. 2010. </w:t>
      </w:r>
      <w:r w:rsidRPr="00D76520">
        <w:rPr>
          <w:rFonts w:cs="Times New Roman"/>
          <w:i/>
          <w:iCs/>
          <w:noProof/>
        </w:rPr>
        <w:t>Syntactic categories: Their identification and description in linguistic theories</w:t>
      </w:r>
      <w:r w:rsidRPr="00D76520">
        <w:rPr>
          <w:rFonts w:cs="Times New Roman"/>
          <w:noProof/>
        </w:rPr>
        <w:t>. (Oxford Surveys in Syntax &amp; Morphology 7). Oxford: Oxford University Press.</w:t>
      </w:r>
    </w:p>
    <w:p w14:paraId="64AA175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2007. Word classes. </w:t>
      </w:r>
      <w:r w:rsidRPr="00D76520">
        <w:rPr>
          <w:rFonts w:cs="Times New Roman"/>
          <w:i/>
          <w:iCs/>
          <w:noProof/>
        </w:rPr>
        <w:t>Language &amp; Linguistics Compass</w:t>
      </w:r>
      <w:r w:rsidRPr="00D76520">
        <w:rPr>
          <w:rFonts w:cs="Times New Roman"/>
          <w:noProof/>
        </w:rPr>
        <w:t xml:space="preserve"> 1(6). 709–726. doi:10.1111/j.1749-818X.2007.00030.x. http://doi.wiley.com/10.1111/j.1749-818X.2007.00030.x.</w:t>
      </w:r>
    </w:p>
    <w:p w14:paraId="6C4E1E73"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2016. Crosslinguistic categories in morphosyntactic typology: Problems and prospects. </w:t>
      </w:r>
      <w:r w:rsidRPr="00D76520">
        <w:rPr>
          <w:rFonts w:cs="Times New Roman"/>
          <w:i/>
          <w:iCs/>
          <w:noProof/>
        </w:rPr>
        <w:t>Linguistic Typology</w:t>
      </w:r>
      <w:r w:rsidRPr="00D76520">
        <w:rPr>
          <w:rFonts w:cs="Times New Roman"/>
          <w:noProof/>
        </w:rPr>
        <w:t xml:space="preserve"> 20(2). 333–363. doi:10.1515/lingty-2016-0010.</w:t>
      </w:r>
    </w:p>
    <w:p w14:paraId="0BF30450"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Rijkhoff, Jan &amp; Eva van Lier (eds.). 2013. </w:t>
      </w:r>
      <w:r w:rsidRPr="00D76520">
        <w:rPr>
          <w:rFonts w:cs="Times New Roman"/>
          <w:i/>
          <w:iCs/>
          <w:noProof/>
        </w:rPr>
        <w:t>Flexible word classes: Typological studies of underspecified parts of speech</w:t>
      </w:r>
      <w:r w:rsidRPr="00D76520">
        <w:rPr>
          <w:rFonts w:cs="Times New Roman"/>
          <w:noProof/>
        </w:rPr>
        <w:t>. Oxford: Oxford University Press.</w:t>
      </w:r>
    </w:p>
    <w:p w14:paraId="04F91F2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1973a. Natural categories. </w:t>
      </w:r>
      <w:r w:rsidRPr="00D76520">
        <w:rPr>
          <w:rFonts w:cs="Times New Roman"/>
          <w:i/>
          <w:iCs/>
          <w:noProof/>
        </w:rPr>
        <w:t>Cognitive Psychology</w:t>
      </w:r>
      <w:r w:rsidRPr="00D76520">
        <w:rPr>
          <w:rFonts w:cs="Times New Roman"/>
          <w:noProof/>
        </w:rPr>
        <w:t xml:space="preserve"> 4(3). 328–350. </w:t>
      </w:r>
      <w:r w:rsidRPr="00D76520">
        <w:rPr>
          <w:rFonts w:cs="Times New Roman"/>
          <w:noProof/>
        </w:rPr>
        <w:lastRenderedPageBreak/>
        <w:t>doi:10.1016/0010-0285(73)90017-0.</w:t>
      </w:r>
    </w:p>
    <w:p w14:paraId="642C9D1D"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1973b. On the internal structure of perceptual and semantic categories. </w:t>
      </w:r>
      <w:r w:rsidRPr="00D76520">
        <w:rPr>
          <w:rFonts w:cs="Times New Roman"/>
          <w:i/>
          <w:iCs/>
          <w:noProof/>
        </w:rPr>
        <w:t>Cognitive development and the acquisition of language</w:t>
      </w:r>
      <w:r w:rsidRPr="00D76520">
        <w:rPr>
          <w:rFonts w:cs="Times New Roman"/>
          <w:noProof/>
        </w:rPr>
        <w:t>, 111–144. New York: Academic Press.</w:t>
      </w:r>
    </w:p>
    <w:p w14:paraId="1E94571A"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1975. Cognitive representation of semantic categories. </w:t>
      </w:r>
      <w:r w:rsidRPr="00D76520">
        <w:rPr>
          <w:rFonts w:cs="Times New Roman"/>
          <w:i/>
          <w:iCs/>
          <w:noProof/>
        </w:rPr>
        <w:t>Journal of Experimental Psychology</w:t>
      </w:r>
      <w:r w:rsidRPr="00D76520">
        <w:rPr>
          <w:rFonts w:cs="Times New Roman"/>
          <w:noProof/>
        </w:rPr>
        <w:t xml:space="preserve"> 104(3). 192–233.</w:t>
      </w:r>
    </w:p>
    <w:p w14:paraId="3BDE33B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1978. Principles of categorization. In Eleanor Rosch &amp; B. B. Lloyd (eds.), </w:t>
      </w:r>
      <w:r w:rsidRPr="00D76520">
        <w:rPr>
          <w:rFonts w:cs="Times New Roman"/>
          <w:i/>
          <w:iCs/>
          <w:noProof/>
        </w:rPr>
        <w:t>Cognition and categorization</w:t>
      </w:r>
      <w:r w:rsidRPr="00D76520">
        <w:rPr>
          <w:rFonts w:cs="Times New Roman"/>
          <w:noProof/>
        </w:rPr>
        <w:t>, 27–48. Hillsdale, NJ: Lawrence Erlbaum.</w:t>
      </w:r>
    </w:p>
    <w:p w14:paraId="567216CB"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&amp; Carolyn B. Mervis. 1975. Family resemblances: Studies in the internal structure of categories. </w:t>
      </w:r>
      <w:r w:rsidRPr="00D76520">
        <w:rPr>
          <w:rFonts w:cs="Times New Roman"/>
          <w:i/>
          <w:iCs/>
          <w:noProof/>
        </w:rPr>
        <w:t>Cognitive Psychology</w:t>
      </w:r>
      <w:r w:rsidRPr="00D76520">
        <w:rPr>
          <w:rFonts w:cs="Times New Roman"/>
          <w:noProof/>
        </w:rPr>
        <w:t xml:space="preserve"> 7(4). 573–605. doi:10.1016/0010-0285(75)90024-9.</w:t>
      </w:r>
    </w:p>
    <w:p w14:paraId="71E14F7F"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Rosch, Eleanor H., Carolyn B. Mervis, Wayne D. Gray, David M. Johnson &amp; Penny Boyes-Braem. 1976. Basic objects in natural categories. </w:t>
      </w:r>
      <w:r w:rsidRPr="00D76520">
        <w:rPr>
          <w:rFonts w:cs="Times New Roman"/>
          <w:i/>
          <w:iCs/>
          <w:noProof/>
        </w:rPr>
        <w:t>Cognitive Psychology</w:t>
      </w:r>
      <w:r w:rsidRPr="00D76520">
        <w:rPr>
          <w:rFonts w:cs="Times New Roman"/>
          <w:noProof/>
        </w:rPr>
        <w:t xml:space="preserve"> 8(3). 382–439. doi:10.1016/0010-0285(76)90013-X.</w:t>
      </w:r>
    </w:p>
    <w:p w14:paraId="6BB3AE99"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Sadock, Jerrold M. 1999. The nominalist theory of Eskimo: A case study in scientific self-deception. </w:t>
      </w:r>
      <w:r w:rsidRPr="00D76520">
        <w:rPr>
          <w:rFonts w:cs="Times New Roman"/>
          <w:i/>
          <w:iCs/>
          <w:noProof/>
        </w:rPr>
        <w:t>International Journal of American Linguistics</w:t>
      </w:r>
      <w:r w:rsidRPr="00D76520">
        <w:rPr>
          <w:rFonts w:cs="Times New Roman"/>
          <w:noProof/>
        </w:rPr>
        <w:t xml:space="preserve"> 65(4). 383–406.</w:t>
      </w:r>
    </w:p>
    <w:p w14:paraId="673E205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Sapir, Edward. 1921. </w:t>
      </w:r>
      <w:r w:rsidRPr="00D76520">
        <w:rPr>
          <w:rFonts w:cs="Times New Roman"/>
          <w:i/>
          <w:iCs/>
          <w:noProof/>
        </w:rPr>
        <w:t>Language: An introduction to the study of speech</w:t>
      </w:r>
      <w:r w:rsidRPr="00D76520">
        <w:rPr>
          <w:rFonts w:cs="Times New Roman"/>
          <w:noProof/>
        </w:rPr>
        <w:t>. New York: Harcourt, Brace &amp; Co. doi:10.2307/3713880. https://books.google.com/books?id=ofgrAAAAYAAJ.</w:t>
      </w:r>
    </w:p>
    <w:p w14:paraId="556B6DB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Siewierska, Anna. 2004. </w:t>
      </w:r>
      <w:r w:rsidRPr="00D76520">
        <w:rPr>
          <w:rFonts w:cs="Times New Roman"/>
          <w:i/>
          <w:iCs/>
          <w:noProof/>
        </w:rPr>
        <w:t>Person</w:t>
      </w:r>
      <w:r w:rsidRPr="00D76520">
        <w:rPr>
          <w:rFonts w:cs="Times New Roman"/>
          <w:noProof/>
        </w:rPr>
        <w:t>. (Cambridge Textbooks in Linguistics). Cambridge: Cambridge University Press. doi:10.1017/CBO9780511812729.</w:t>
      </w:r>
    </w:p>
    <w:p w14:paraId="155CE398"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Taylor, John R. 1989. </w:t>
      </w:r>
      <w:r w:rsidRPr="00D76520">
        <w:rPr>
          <w:rFonts w:cs="Times New Roman"/>
          <w:i/>
          <w:iCs/>
          <w:noProof/>
        </w:rPr>
        <w:t>Linguistic categorization: Prototypes in linguistic theory</w:t>
      </w:r>
      <w:r w:rsidRPr="00D76520">
        <w:rPr>
          <w:rFonts w:cs="Times New Roman"/>
          <w:noProof/>
        </w:rPr>
        <w:t>. 1st ed. Oxford: Clarendon Press.</w:t>
      </w:r>
    </w:p>
    <w:p w14:paraId="2793F717"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Thompson, Sandra A. 1989. A discourse approach to the cross-linguistic category “Adjective.” In Roberta Corrigan, Fred R. Eckman &amp; Michael Noonan (eds.), </w:t>
      </w:r>
      <w:r w:rsidRPr="00D76520">
        <w:rPr>
          <w:rFonts w:cs="Times New Roman"/>
          <w:i/>
          <w:iCs/>
          <w:noProof/>
        </w:rPr>
        <w:t>Linguistic categorization</w:t>
      </w:r>
      <w:r w:rsidRPr="00D76520">
        <w:rPr>
          <w:rFonts w:cs="Times New Roman"/>
          <w:noProof/>
        </w:rPr>
        <w:t>, 245–266. (Current Issues in Linguistic Theory 61). Amsterdam: John Benjamins.</w:t>
      </w:r>
    </w:p>
    <w:p w14:paraId="727B0206"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D76520">
        <w:rPr>
          <w:rFonts w:cs="Times New Roman"/>
          <w:i/>
          <w:iCs/>
          <w:noProof/>
        </w:rPr>
        <w:t>Lexical polycategoriality: Cross-linguistic, cross-theoretical, and language acquisition approaches</w:t>
      </w:r>
      <w:r w:rsidRPr="00D76520">
        <w:rPr>
          <w:rFonts w:cs="Times New Roman"/>
          <w:noProof/>
        </w:rPr>
        <w:t>, 1–34. (Studies in Language Companion Series 182). Amsterdam: John Benjamins.</w:t>
      </w:r>
    </w:p>
    <w:p w14:paraId="740983C2" w14:textId="77777777" w:rsidR="00D76520" w:rsidRPr="00D76520" w:rsidRDefault="00D76520" w:rsidP="00D76520">
      <w:pPr>
        <w:widowControl w:val="0"/>
        <w:autoSpaceDE w:val="0"/>
        <w:autoSpaceDN w:val="0"/>
        <w:adjustRightInd w:val="0"/>
        <w:spacing w:before="120" w:after="120" w:line="240" w:lineRule="auto"/>
        <w:ind w:left="480" w:hanging="480"/>
        <w:rPr>
          <w:rFonts w:cs="Times New Roman"/>
          <w:noProof/>
        </w:rPr>
      </w:pPr>
      <w:r w:rsidRPr="00D76520">
        <w:rPr>
          <w:rFonts w:cs="Times New Roman"/>
          <w:noProof/>
        </w:rPr>
        <w:t xml:space="preserve">Vapnarsky, Valentina &amp; Edy Veneziano (eds.). 2017b. </w:t>
      </w:r>
      <w:r w:rsidRPr="00D76520">
        <w:rPr>
          <w:rFonts w:cs="Times New Roman"/>
          <w:i/>
          <w:iCs/>
          <w:noProof/>
        </w:rPr>
        <w:t>Lexical polycategoriality: Cross-linguistic, cross-theoretical and language acquisition approaches</w:t>
      </w:r>
      <w:r w:rsidRPr="00D76520">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C54113" w:rsidRDefault="00C54113" w:rsidP="00CA5A11">
      <w:r>
        <w:separator/>
      </w:r>
    </w:p>
  </w:endnote>
  <w:endnote w:type="continuationSeparator" w:id="0">
    <w:p w14:paraId="5C3F6DDA" w14:textId="77777777" w:rsidR="00C54113" w:rsidRDefault="00C54113"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2408E437" w:rsidR="00C54113" w:rsidRDefault="00C54113" w:rsidP="007268BD">
        <w:pPr>
          <w:pStyle w:val="Footer"/>
          <w:jc w:val="center"/>
        </w:pPr>
        <w:r>
          <w:rPr>
            <w:noProof w:val="0"/>
          </w:rPr>
          <w:fldChar w:fldCharType="begin"/>
        </w:r>
        <w:r>
          <w:instrText xml:space="preserve"> PAGE   \* MERGEFORMAT </w:instrText>
        </w:r>
        <w:r>
          <w:rPr>
            <w:noProof w:val="0"/>
          </w:rPr>
          <w:fldChar w:fldCharType="separate"/>
        </w:r>
        <w:r w:rsidR="00EF0362">
          <w:t>22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60080A74" w:rsidR="00C54113" w:rsidRDefault="00C54113" w:rsidP="00FD59DC">
        <w:pPr>
          <w:pStyle w:val="Footer"/>
          <w:jc w:val="center"/>
        </w:pPr>
        <w:r>
          <w:rPr>
            <w:noProof w:val="0"/>
          </w:rPr>
          <w:fldChar w:fldCharType="begin"/>
        </w:r>
        <w:r>
          <w:instrText xml:space="preserve"> PAGE   \* MERGEFORMAT </w:instrText>
        </w:r>
        <w:r>
          <w:rPr>
            <w:noProof w:val="0"/>
          </w:rPr>
          <w:fldChar w:fldCharType="separate"/>
        </w:r>
        <w:r w:rsidR="00CD714F">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C54113" w:rsidRDefault="00C54113" w:rsidP="00CA5A11">
      <w:r>
        <w:separator/>
      </w:r>
    </w:p>
  </w:footnote>
  <w:footnote w:type="continuationSeparator" w:id="0">
    <w:p w14:paraId="174445F7" w14:textId="77777777" w:rsidR="00C54113" w:rsidRDefault="00C54113" w:rsidP="00CA5A11">
      <w:r>
        <w:continuationSeparator/>
      </w:r>
    </w:p>
  </w:footnote>
  <w:footnote w:id="1">
    <w:p w14:paraId="19D9D40C" w14:textId="75C856BE" w:rsidR="00C54113" w:rsidRDefault="00C54113"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14:paraId="69745C48" w14:textId="6CBCF2E0" w:rsidR="00C54113" w:rsidRDefault="00C54113">
      <w:pPr>
        <w:pStyle w:val="FootnoteText"/>
      </w:pPr>
      <w:r>
        <w:t xml:space="preserve"> </w:t>
      </w:r>
    </w:p>
  </w:footnote>
  <w:footnote w:id="2">
    <w:p w14:paraId="3B9BB35E" w14:textId="64171073" w:rsidR="00C54113" w:rsidRDefault="00C54113">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1A36E3EF" w14:textId="71C779B6" w:rsidR="00C54113" w:rsidRDefault="00C5411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C54113" w:rsidRDefault="00C5411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7EA7"/>
    <w:rsid w:val="00012724"/>
    <w:rsid w:val="00012C2F"/>
    <w:rsid w:val="00014626"/>
    <w:rsid w:val="000155EF"/>
    <w:rsid w:val="00015C5F"/>
    <w:rsid w:val="00020529"/>
    <w:rsid w:val="000227D7"/>
    <w:rsid w:val="000248C4"/>
    <w:rsid w:val="000258F5"/>
    <w:rsid w:val="0002602D"/>
    <w:rsid w:val="000314AB"/>
    <w:rsid w:val="00034EE5"/>
    <w:rsid w:val="00036CB3"/>
    <w:rsid w:val="00052D53"/>
    <w:rsid w:val="000575D9"/>
    <w:rsid w:val="00070468"/>
    <w:rsid w:val="00071549"/>
    <w:rsid w:val="00073AB3"/>
    <w:rsid w:val="000762EE"/>
    <w:rsid w:val="00087A44"/>
    <w:rsid w:val="0009333F"/>
    <w:rsid w:val="0009429B"/>
    <w:rsid w:val="00095D94"/>
    <w:rsid w:val="000A1526"/>
    <w:rsid w:val="000B76B7"/>
    <w:rsid w:val="000C142E"/>
    <w:rsid w:val="000E0202"/>
    <w:rsid w:val="000E38C1"/>
    <w:rsid w:val="000F0C07"/>
    <w:rsid w:val="000F44E4"/>
    <w:rsid w:val="00113D04"/>
    <w:rsid w:val="001210D1"/>
    <w:rsid w:val="00122E7D"/>
    <w:rsid w:val="00132AD3"/>
    <w:rsid w:val="001335BD"/>
    <w:rsid w:val="001344CB"/>
    <w:rsid w:val="00143852"/>
    <w:rsid w:val="00147AB1"/>
    <w:rsid w:val="0019060E"/>
    <w:rsid w:val="00190EA1"/>
    <w:rsid w:val="00193C0D"/>
    <w:rsid w:val="001A121D"/>
    <w:rsid w:val="001A511C"/>
    <w:rsid w:val="001B5863"/>
    <w:rsid w:val="001D0716"/>
    <w:rsid w:val="001D302D"/>
    <w:rsid w:val="001D73BA"/>
    <w:rsid w:val="001E25A4"/>
    <w:rsid w:val="001E4A7C"/>
    <w:rsid w:val="001E4C32"/>
    <w:rsid w:val="001F590F"/>
    <w:rsid w:val="001F736D"/>
    <w:rsid w:val="002004BE"/>
    <w:rsid w:val="002008D9"/>
    <w:rsid w:val="0020387A"/>
    <w:rsid w:val="0021074C"/>
    <w:rsid w:val="00214730"/>
    <w:rsid w:val="00224873"/>
    <w:rsid w:val="00241552"/>
    <w:rsid w:val="0024518B"/>
    <w:rsid w:val="00261E56"/>
    <w:rsid w:val="00274D9B"/>
    <w:rsid w:val="002811CA"/>
    <w:rsid w:val="00291257"/>
    <w:rsid w:val="002964BB"/>
    <w:rsid w:val="002A268A"/>
    <w:rsid w:val="002A368A"/>
    <w:rsid w:val="002B21B1"/>
    <w:rsid w:val="002B69AE"/>
    <w:rsid w:val="002D4762"/>
    <w:rsid w:val="002E02BA"/>
    <w:rsid w:val="002E602A"/>
    <w:rsid w:val="003020EE"/>
    <w:rsid w:val="00305745"/>
    <w:rsid w:val="00313B0C"/>
    <w:rsid w:val="00323BEF"/>
    <w:rsid w:val="00327B49"/>
    <w:rsid w:val="00340121"/>
    <w:rsid w:val="00341C59"/>
    <w:rsid w:val="00351494"/>
    <w:rsid w:val="00360AB2"/>
    <w:rsid w:val="003614A4"/>
    <w:rsid w:val="003652A5"/>
    <w:rsid w:val="003671E8"/>
    <w:rsid w:val="003770F8"/>
    <w:rsid w:val="0038538F"/>
    <w:rsid w:val="00396F5C"/>
    <w:rsid w:val="003A3611"/>
    <w:rsid w:val="003A70E1"/>
    <w:rsid w:val="003B4557"/>
    <w:rsid w:val="003C0562"/>
    <w:rsid w:val="003C5FFB"/>
    <w:rsid w:val="003D4C8C"/>
    <w:rsid w:val="003D5DE3"/>
    <w:rsid w:val="003F11AA"/>
    <w:rsid w:val="004073EB"/>
    <w:rsid w:val="00417BC3"/>
    <w:rsid w:val="00417CD8"/>
    <w:rsid w:val="00420430"/>
    <w:rsid w:val="00441E13"/>
    <w:rsid w:val="00451C7B"/>
    <w:rsid w:val="004550E0"/>
    <w:rsid w:val="004573C0"/>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9C0"/>
    <w:rsid w:val="007C4AC9"/>
    <w:rsid w:val="007C7241"/>
    <w:rsid w:val="007E405D"/>
    <w:rsid w:val="007E5836"/>
    <w:rsid w:val="007E78E9"/>
    <w:rsid w:val="007F0F8F"/>
    <w:rsid w:val="007F1195"/>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95263"/>
    <w:rsid w:val="008A09D2"/>
    <w:rsid w:val="008A145C"/>
    <w:rsid w:val="008A4D7C"/>
    <w:rsid w:val="008B45B4"/>
    <w:rsid w:val="008C5D11"/>
    <w:rsid w:val="008D3BA1"/>
    <w:rsid w:val="008D4ABB"/>
    <w:rsid w:val="008E2C1E"/>
    <w:rsid w:val="008E7768"/>
    <w:rsid w:val="008F2838"/>
    <w:rsid w:val="00907BE5"/>
    <w:rsid w:val="009141BE"/>
    <w:rsid w:val="00930E64"/>
    <w:rsid w:val="009400AE"/>
    <w:rsid w:val="009417C1"/>
    <w:rsid w:val="00945758"/>
    <w:rsid w:val="0095753C"/>
    <w:rsid w:val="00957FA7"/>
    <w:rsid w:val="00977F74"/>
    <w:rsid w:val="0098108E"/>
    <w:rsid w:val="00985A7C"/>
    <w:rsid w:val="0099612C"/>
    <w:rsid w:val="009A355A"/>
    <w:rsid w:val="009A75CD"/>
    <w:rsid w:val="009A7CD6"/>
    <w:rsid w:val="009B264B"/>
    <w:rsid w:val="009B5B1C"/>
    <w:rsid w:val="009B6AF6"/>
    <w:rsid w:val="009B72DF"/>
    <w:rsid w:val="009C5A3B"/>
    <w:rsid w:val="009C7CB1"/>
    <w:rsid w:val="009D0C2B"/>
    <w:rsid w:val="009D2000"/>
    <w:rsid w:val="009D583B"/>
    <w:rsid w:val="009F20D1"/>
    <w:rsid w:val="009F32D4"/>
    <w:rsid w:val="009F64E2"/>
    <w:rsid w:val="009F65B4"/>
    <w:rsid w:val="00A101B4"/>
    <w:rsid w:val="00A149AF"/>
    <w:rsid w:val="00A1619F"/>
    <w:rsid w:val="00A16213"/>
    <w:rsid w:val="00A27E8C"/>
    <w:rsid w:val="00A31FB6"/>
    <w:rsid w:val="00A377B9"/>
    <w:rsid w:val="00A54C27"/>
    <w:rsid w:val="00A831F8"/>
    <w:rsid w:val="00A84880"/>
    <w:rsid w:val="00A87E78"/>
    <w:rsid w:val="00A90AF3"/>
    <w:rsid w:val="00A93F5B"/>
    <w:rsid w:val="00A9656A"/>
    <w:rsid w:val="00A969CA"/>
    <w:rsid w:val="00A9771E"/>
    <w:rsid w:val="00AA4DE0"/>
    <w:rsid w:val="00AA5534"/>
    <w:rsid w:val="00AB6A57"/>
    <w:rsid w:val="00AD5F4F"/>
    <w:rsid w:val="00AE0C82"/>
    <w:rsid w:val="00AE5A9D"/>
    <w:rsid w:val="00AF081C"/>
    <w:rsid w:val="00AF0D0E"/>
    <w:rsid w:val="00AF201D"/>
    <w:rsid w:val="00AF45E2"/>
    <w:rsid w:val="00B07B9A"/>
    <w:rsid w:val="00B230F3"/>
    <w:rsid w:val="00B30537"/>
    <w:rsid w:val="00B36600"/>
    <w:rsid w:val="00B36E23"/>
    <w:rsid w:val="00B50AA0"/>
    <w:rsid w:val="00B57E77"/>
    <w:rsid w:val="00B57F0A"/>
    <w:rsid w:val="00B63449"/>
    <w:rsid w:val="00B67623"/>
    <w:rsid w:val="00B70CF3"/>
    <w:rsid w:val="00B70EE1"/>
    <w:rsid w:val="00B71C36"/>
    <w:rsid w:val="00B80C34"/>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A1E49"/>
    <w:rsid w:val="00CA5A11"/>
    <w:rsid w:val="00CB6B00"/>
    <w:rsid w:val="00CD4BD2"/>
    <w:rsid w:val="00CD714F"/>
    <w:rsid w:val="00CE0504"/>
    <w:rsid w:val="00CE05AD"/>
    <w:rsid w:val="00CE066A"/>
    <w:rsid w:val="00D04236"/>
    <w:rsid w:val="00D04D68"/>
    <w:rsid w:val="00D15672"/>
    <w:rsid w:val="00D16CA1"/>
    <w:rsid w:val="00D21D54"/>
    <w:rsid w:val="00D2418B"/>
    <w:rsid w:val="00D241EB"/>
    <w:rsid w:val="00D36331"/>
    <w:rsid w:val="00D36FFB"/>
    <w:rsid w:val="00D4196C"/>
    <w:rsid w:val="00D46D1E"/>
    <w:rsid w:val="00D56AA6"/>
    <w:rsid w:val="00D57438"/>
    <w:rsid w:val="00D6787E"/>
    <w:rsid w:val="00D7540D"/>
    <w:rsid w:val="00D7558F"/>
    <w:rsid w:val="00D76520"/>
    <w:rsid w:val="00D829E0"/>
    <w:rsid w:val="00D86C54"/>
    <w:rsid w:val="00D8701A"/>
    <w:rsid w:val="00D87F39"/>
    <w:rsid w:val="00D92509"/>
    <w:rsid w:val="00DA336E"/>
    <w:rsid w:val="00DB142A"/>
    <w:rsid w:val="00DB4C5A"/>
    <w:rsid w:val="00DC1C25"/>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E23F2"/>
    <w:rsid w:val="00EE3686"/>
    <w:rsid w:val="00EE5A6A"/>
    <w:rsid w:val="00EF0362"/>
    <w:rsid w:val="00EF231C"/>
    <w:rsid w:val="00EF2A9D"/>
    <w:rsid w:val="00EF6BB2"/>
    <w:rsid w:val="00F02440"/>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A1106"/>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1D50962-E590-494E-9D5D-A403FF0A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23</Pages>
  <Words>35674</Words>
  <Characters>203344</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192</cp:revision>
  <dcterms:created xsi:type="dcterms:W3CDTF">2017-12-29T19:56:00Z</dcterms:created>
  <dcterms:modified xsi:type="dcterms:W3CDTF">2018-01-12T20:31:00Z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