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5038"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PCP</w:t>
      </w:r>
      <w:proofErr w:type="gramEnd"/>
      <w:r>
        <w:rPr>
          <w:rStyle w:val="Strong"/>
          <w:rFonts w:ascii="Segoe UI" w:eastAsiaTheme="majorEastAsia" w:hAnsi="Segoe UI" w:cs="Segoe UI"/>
          <w:sz w:val="21"/>
          <w:szCs w:val="21"/>
        </w:rPr>
        <w:t xml:space="preserve"> Pricing Automation (RCI/CEL):</w:t>
      </w:r>
      <w:r>
        <w:rPr>
          <w:rFonts w:ascii="Segoe UI" w:hAnsi="Segoe UI" w:cs="Segoe UI"/>
          <w:sz w:val="21"/>
          <w:szCs w:val="21"/>
        </w:rPr>
        <w:t xml:space="preserve"> Teams improved Beverage PRE optimization stability by recalibrating bundle demand/price ratios using an EWMA approach segmented by WTS bins, reducing bias from sailing-specific data and enabling more defensible pricing recommendations. Teams also advanced RBC CRF automation by completing rule-based discount functions, calculating final price points for RBC </w:t>
      </w:r>
      <w:proofErr w:type="spellStart"/>
      <w:r>
        <w:rPr>
          <w:rFonts w:ascii="Segoe UI" w:hAnsi="Segoe UI" w:cs="Segoe UI"/>
          <w:sz w:val="21"/>
          <w:szCs w:val="21"/>
        </w:rPr>
        <w:t>Alc</w:t>
      </w:r>
      <w:proofErr w:type="spellEnd"/>
      <w:r>
        <w:rPr>
          <w:rFonts w:ascii="Segoe UI" w:hAnsi="Segoe UI" w:cs="Segoe UI"/>
          <w:sz w:val="21"/>
          <w:szCs w:val="21"/>
        </w:rPr>
        <w:t>/Non</w:t>
      </w:r>
      <w:r>
        <w:rPr>
          <w:rFonts w:ascii="Segoe UI" w:hAnsi="Segoe UI" w:cs="Segoe UI"/>
          <w:sz w:val="21"/>
          <w:szCs w:val="21"/>
        </w:rPr>
        <w:noBreakHyphen/>
      </w:r>
      <w:proofErr w:type="spellStart"/>
      <w:r>
        <w:rPr>
          <w:rFonts w:ascii="Segoe UI" w:hAnsi="Segoe UI" w:cs="Segoe UI"/>
          <w:sz w:val="21"/>
          <w:szCs w:val="21"/>
        </w:rPr>
        <w:t>Alc</w:t>
      </w:r>
      <w:proofErr w:type="spellEnd"/>
      <w:r>
        <w:rPr>
          <w:rFonts w:ascii="Segoe UI" w:hAnsi="Segoe UI" w:cs="Segoe UI"/>
          <w:sz w:val="21"/>
          <w:szCs w:val="21"/>
        </w:rPr>
        <w:t xml:space="preserve">/DX passes, and adding guardrails (caps on price changes, pass-gap limits, and bundle/discount consistency checks) to prevent revenue leakage and pricing integrity breaks. </w:t>
      </w:r>
      <w:r>
        <w:rPr>
          <w:rStyle w:val="Emphasis"/>
          <w:rFonts w:ascii="Segoe UI" w:eastAsiaTheme="majorEastAsia" w:hAnsi="Segoe UI" w:cs="Segoe UI"/>
          <w:sz w:val="21"/>
          <w:szCs w:val="21"/>
        </w:rPr>
        <w:t>Teams are focusing on resolving missing Jan</w:t>
      </w:r>
      <w:r>
        <w:rPr>
          <w:rStyle w:val="Emphasis"/>
          <w:rFonts w:ascii="Segoe UI" w:eastAsiaTheme="majorEastAsia" w:hAnsi="Segoe UI" w:cs="Segoe UI"/>
          <w:sz w:val="21"/>
          <w:szCs w:val="21"/>
        </w:rPr>
        <w:noBreakHyphen/>
        <w:t xml:space="preserve">2027 base prices and nulls in 90+ window </w:t>
      </w:r>
      <w:proofErr w:type="spellStart"/>
      <w:r>
        <w:rPr>
          <w:rStyle w:val="Emphasis"/>
          <w:rFonts w:ascii="Segoe UI" w:eastAsiaTheme="majorEastAsia" w:hAnsi="Segoe UI" w:cs="Segoe UI"/>
          <w:sz w:val="21"/>
          <w:szCs w:val="21"/>
        </w:rPr>
        <w:t>metas</w:t>
      </w:r>
      <w:proofErr w:type="spellEnd"/>
      <w:r>
        <w:rPr>
          <w:rStyle w:val="Emphasis"/>
          <w:rFonts w:ascii="Segoe UI" w:eastAsiaTheme="majorEastAsia" w:hAnsi="Segoe UI" w:cs="Segoe UI"/>
          <w:sz w:val="21"/>
          <w:szCs w:val="21"/>
        </w:rPr>
        <w:t>, standing up a weekly “last discount” history table to remove the manual dependency, and completing the remaining digital/marketing prerequisites to move the 1:1 offer pilot from stage testing into production validation.</w:t>
      </w:r>
    </w:p>
    <w:p w14:paraId="014959CD"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Revenue</w:t>
      </w:r>
      <w:proofErr w:type="gramEnd"/>
      <w:r>
        <w:rPr>
          <w:rStyle w:val="Strong"/>
          <w:rFonts w:ascii="Segoe UI" w:eastAsiaTheme="majorEastAsia" w:hAnsi="Segoe UI" w:cs="Segoe UI"/>
          <w:sz w:val="21"/>
          <w:szCs w:val="21"/>
        </w:rPr>
        <w:t xml:space="preserve"> Management Automation (RCI):</w:t>
      </w:r>
      <w:r>
        <w:rPr>
          <w:rFonts w:ascii="Segoe UI" w:hAnsi="Segoe UI" w:cs="Segoe UI"/>
          <w:sz w:val="21"/>
          <w:szCs w:val="21"/>
        </w:rPr>
        <w:t xml:space="preserve"> Teams scaled Track Optimization to fleet-wide runs, identified key infeasibility drivers (capacity-to-fill falling outside weekly booking bounds, negative remaining capacity), and implemented bound-relaxation and input fixes to keep optimization outputs usable at scale. Teams shifted the Track Optimization approach from MILP to Dynamic Programming and delivered stakeholder readouts with new result visualizations (optimal tracks, heat maps) to accelerate adoption of repeatable weekly recommendations. </w:t>
      </w:r>
      <w:r>
        <w:rPr>
          <w:rStyle w:val="Emphasis"/>
          <w:rFonts w:ascii="Segoe UI" w:eastAsiaTheme="majorEastAsia" w:hAnsi="Segoe UI" w:cs="Segoe UI"/>
          <w:sz w:val="21"/>
          <w:szCs w:val="21"/>
        </w:rPr>
        <w:t>Teams are focusing on completing comparisons of optimal vs. business/SPI tracks and finalizing next-week decision materials to lock the go-forward approach and prioritize near-term “quick win” scopes where feasible.</w:t>
      </w:r>
    </w:p>
    <w:p w14:paraId="7606BEB3" w14:textId="77777777" w:rsidR="007F1A30" w:rsidRDefault="007F1A30" w:rsidP="007F1A30">
      <w:pPr>
        <w:pStyle w:val="NormalWeb"/>
        <w:spacing w:line="300" w:lineRule="atLeast"/>
        <w:rPr>
          <w:rFonts w:ascii="Segoe UI" w:hAnsi="Segoe UI" w:cs="Segoe UI"/>
          <w:sz w:val="21"/>
          <w:szCs w:val="21"/>
        </w:rPr>
      </w:pPr>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Revenue Management Automation (CEL):</w:t>
      </w:r>
      <w:r>
        <w:rPr>
          <w:rFonts w:ascii="Segoe UI" w:hAnsi="Segoe UI" w:cs="Segoe UI"/>
          <w:sz w:val="21"/>
          <w:szCs w:val="21"/>
        </w:rPr>
        <w:t xml:space="preserve"> Teams completed PERKS test deep-dives (control vs. test comparative stats, win-probability visuals, and weekly trade-up trend views) and held business working sessions to align on recommended actions and resolve reporting discrepancies, supporting near-term decisions on perks upcharge gaps and test design that protect yield while improving trade-up performance. Teams also completed Promotions Analysis by isolating Replacement Value-driven performance, classifying sailings into G1/G2/G3 outcomes, and defining rule-development foundations to prevent over-discounting while preserving demand where RV is value-accretive; in parallel, GTY Lead 2.0 enhancements added “confidence” checks and delivered AUD vs. USD market-separated recommendations for Australia sailings pending final product approval. </w:t>
      </w:r>
      <w:r>
        <w:rPr>
          <w:rStyle w:val="Emphasis"/>
          <w:rFonts w:ascii="Segoe UI" w:eastAsiaTheme="majorEastAsia" w:hAnsi="Segoe UI" w:cs="Segoe UI"/>
          <w:sz w:val="21"/>
          <w:szCs w:val="21"/>
        </w:rPr>
        <w:t>Teams are focusing on finalizing the March executive readout (including quantified multi-year revenue lift scenarios tied to the recommended actions) and pushing GTY Lead 2.0 upgrades to production once approvals clear.</w:t>
      </w:r>
    </w:p>
    <w:p w14:paraId="7BCEBFD4"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Revenue</w:t>
      </w:r>
      <w:proofErr w:type="gramEnd"/>
      <w:r>
        <w:rPr>
          <w:rStyle w:val="Strong"/>
          <w:rFonts w:ascii="Segoe UI" w:eastAsiaTheme="majorEastAsia" w:hAnsi="Segoe UI" w:cs="Segoe UI"/>
          <w:sz w:val="21"/>
          <w:szCs w:val="21"/>
        </w:rPr>
        <w:t xml:space="preserve"> Management Automation (SSC):</w:t>
      </w:r>
      <w:r>
        <w:rPr>
          <w:rFonts w:ascii="Segoe UI" w:hAnsi="Segoe UI" w:cs="Segoe UI"/>
          <w:sz w:val="21"/>
          <w:szCs w:val="21"/>
        </w:rPr>
        <w:t xml:space="preserve"> No Relevant Update.</w:t>
      </w:r>
    </w:p>
    <w:p w14:paraId="45A2157C"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PROPEL</w:t>
      </w:r>
      <w:proofErr w:type="gramEnd"/>
      <w:r>
        <w:rPr>
          <w:rStyle w:val="Strong"/>
          <w:rFonts w:ascii="Segoe UI" w:eastAsiaTheme="majorEastAsia" w:hAnsi="Segoe UI" w:cs="Segoe UI"/>
          <w:sz w:val="21"/>
          <w:szCs w:val="21"/>
        </w:rPr>
        <w:t xml:space="preserve"> Targeted Offers (CEL):</w:t>
      </w:r>
      <w:r>
        <w:rPr>
          <w:rFonts w:ascii="Segoe UI" w:hAnsi="Segoe UI" w:cs="Segoe UI"/>
          <w:sz w:val="21"/>
          <w:szCs w:val="21"/>
        </w:rPr>
        <w:t xml:space="preserve"> Teams delivered an executive-ready redesign proposal for the targeted-offers measurement framework, aligning category-level test/control assignment with primary KPIs and guardrails and specifying statistical evaluation methods (uplift estimation, Welch t-tests, weighted regression, multiple-testing correction) to make ROI claims defensible. Teams also stabilized operations by fixing a port issue that caused missed runs and consolidating port scheduling logic, while manually mitigating a one-day lag for EQ processing during the sailing. </w:t>
      </w:r>
      <w:r>
        <w:rPr>
          <w:rStyle w:val="Emphasis"/>
          <w:rFonts w:ascii="Segoe UI" w:eastAsiaTheme="majorEastAsia" w:hAnsi="Segoe UI" w:cs="Segoe UI"/>
          <w:sz w:val="21"/>
          <w:szCs w:val="21"/>
        </w:rPr>
        <w:t>Teams are focusing on implementing the redesigned measurement tables end-to-end and eliminating the remaining scheduling lag so results can be trusted without manual intervention.</w:t>
      </w:r>
    </w:p>
    <w:p w14:paraId="761F1E6B" w14:textId="77777777" w:rsidR="007F1A30" w:rsidRDefault="007F1A30" w:rsidP="007F1A30">
      <w:pPr>
        <w:pStyle w:val="NormalWeb"/>
        <w:spacing w:line="300" w:lineRule="atLeast"/>
        <w:rPr>
          <w:rFonts w:ascii="Segoe UI" w:hAnsi="Segoe UI" w:cs="Segoe UI"/>
          <w:sz w:val="21"/>
          <w:szCs w:val="21"/>
        </w:rPr>
      </w:pPr>
      <w:r>
        <w:rPr>
          <w:rFonts w:ascii="Segoe UI" w:hAnsi="Symbol" w:cs="Segoe UI"/>
          <w:sz w:val="21"/>
          <w:szCs w:val="21"/>
        </w:rPr>
        <w:lastRenderedPageBreak/>
        <w:t></w:t>
      </w:r>
      <w:r>
        <w:rPr>
          <w:rFonts w:ascii="Segoe UI" w:hAnsi="Segoe UI" w:cs="Segoe UI"/>
          <w:sz w:val="21"/>
          <w:szCs w:val="21"/>
        </w:rPr>
        <w:t xml:space="preserve">  </w:t>
      </w:r>
      <w:r>
        <w:rPr>
          <w:rStyle w:val="Strong"/>
          <w:rFonts w:ascii="Segoe UI" w:eastAsiaTheme="majorEastAsia" w:hAnsi="Segoe UI" w:cs="Segoe UI"/>
          <w:sz w:val="21"/>
          <w:szCs w:val="21"/>
        </w:rPr>
        <w:t>Contact Center Optimization &amp; Automation (RCI/CEL):</w:t>
      </w:r>
      <w:r>
        <w:rPr>
          <w:rFonts w:ascii="Segoe UI" w:hAnsi="Segoe UI" w:cs="Segoe UI"/>
          <w:sz w:val="21"/>
          <w:szCs w:val="21"/>
        </w:rPr>
        <w:t xml:space="preserve"> Teams aligned with business leaders on Workforce Planning model direction: the model will quantify true operational need (budget adjustments occur after), support scenario trade-offs (e.g., staffing curves for 10% vs. 5% abandonment targets), and account for cross</w:t>
      </w:r>
      <w:r>
        <w:rPr>
          <w:rFonts w:ascii="Segoe UI" w:hAnsi="Segoe UI" w:cs="Segoe UI"/>
          <w:sz w:val="21"/>
          <w:szCs w:val="21"/>
        </w:rPr>
        <w:noBreakHyphen/>
        <w:t xml:space="preserve">LOB demand absorption so “adequate staffing” isn’t artificially inflated by spillover. Teams also strengthened the modeling strategy by using independent LOBs as calibration baselines, shifting the primary target KPI from Abandonment Rate to Service Level (more stable and customer-experience aligned), and eliminating pipeline failures in CTI lead scoring by splitting very large lead drops into smaller ingestions. </w:t>
      </w:r>
      <w:r>
        <w:rPr>
          <w:rStyle w:val="Emphasis"/>
          <w:rFonts w:ascii="Segoe UI" w:eastAsiaTheme="majorEastAsia" w:hAnsi="Segoe UI" w:cs="Segoe UI"/>
          <w:sz w:val="21"/>
          <w:szCs w:val="21"/>
        </w:rPr>
        <w:t xml:space="preserve">Teams are focusing on operationalizing SL-based staffing targets with capacity caps and clean-LOB </w:t>
      </w:r>
      <w:proofErr w:type="gramStart"/>
      <w:r>
        <w:rPr>
          <w:rStyle w:val="Emphasis"/>
          <w:rFonts w:ascii="Segoe UI" w:eastAsiaTheme="majorEastAsia" w:hAnsi="Segoe UI" w:cs="Segoe UI"/>
          <w:sz w:val="21"/>
          <w:szCs w:val="21"/>
        </w:rPr>
        <w:t>calibration, and</w:t>
      </w:r>
      <w:proofErr w:type="gramEnd"/>
      <w:r>
        <w:rPr>
          <w:rStyle w:val="Emphasis"/>
          <w:rFonts w:ascii="Segoe UI" w:eastAsiaTheme="majorEastAsia" w:hAnsi="Segoe UI" w:cs="Segoe UI"/>
          <w:sz w:val="21"/>
          <w:szCs w:val="21"/>
        </w:rPr>
        <w:t xml:space="preserve"> finalizing the design for International/Casino call-volume adjustment controls (market vs. brand vs. LOB) for the planning application.</w:t>
      </w:r>
    </w:p>
    <w:p w14:paraId="22DEF00D"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AXIOM</w:t>
      </w:r>
      <w:proofErr w:type="gramEnd"/>
      <w:r>
        <w:rPr>
          <w:rStyle w:val="Strong"/>
          <w:rFonts w:ascii="Segoe UI" w:eastAsiaTheme="majorEastAsia" w:hAnsi="Segoe UI" w:cs="Segoe UI"/>
          <w:sz w:val="21"/>
          <w:szCs w:val="21"/>
        </w:rPr>
        <w:t>: Generative-AI SEATs (Hotel Ops, Consumer Insights, Legal):</w:t>
      </w:r>
      <w:r>
        <w:rPr>
          <w:rFonts w:ascii="Segoe UI" w:hAnsi="Segoe UI" w:cs="Segoe UI"/>
          <w:sz w:val="21"/>
          <w:szCs w:val="21"/>
        </w:rPr>
        <w:t xml:space="preserve"> Teams deployed the Axiom Power BI experience into a premium workspace with daily refresh (7:30 AM UTC), enabling business teams to access at least one core tab ahead of final table decisions. Teams materially improved decision-speed enablers by accelerating SHAP explainability to process ~500K rows across 300+ features in ~13 seconds using parallelized 8</w:t>
      </w:r>
      <w:r>
        <w:rPr>
          <w:rFonts w:ascii="Segoe UI" w:hAnsi="Segoe UI" w:cs="Segoe UI"/>
          <w:sz w:val="21"/>
          <w:szCs w:val="21"/>
        </w:rPr>
        <w:noBreakHyphen/>
        <w:t xml:space="preserve">GPU pooling, improving Guest Logs categorization quality via stronger embedding-based candidate selection, and completing competitor/peer feedback ingestion by scraping Cruise Critic comments for Royal Caribbean, Celebrity Cruises, and MSC Cruises for Consumer Insights use. </w:t>
      </w:r>
      <w:r>
        <w:rPr>
          <w:rStyle w:val="Emphasis"/>
          <w:rFonts w:ascii="Segoe UI" w:eastAsiaTheme="majorEastAsia" w:hAnsi="Segoe UI" w:cs="Segoe UI"/>
          <w:sz w:val="21"/>
          <w:szCs w:val="21"/>
        </w:rPr>
        <w:t xml:space="preserve">Teams are focusing on delivering the Port email report v1 (due 3/27), separating onboard vs. </w:t>
      </w:r>
      <w:proofErr w:type="spellStart"/>
      <w:r>
        <w:rPr>
          <w:rStyle w:val="Emphasis"/>
          <w:rFonts w:ascii="Segoe UI" w:eastAsiaTheme="majorEastAsia" w:hAnsi="Segoe UI" w:cs="Segoe UI"/>
          <w:sz w:val="21"/>
          <w:szCs w:val="21"/>
        </w:rPr>
        <w:t>ShoreX</w:t>
      </w:r>
      <w:proofErr w:type="spellEnd"/>
      <w:r>
        <w:rPr>
          <w:rStyle w:val="Emphasis"/>
          <w:rFonts w:ascii="Segoe UI" w:eastAsiaTheme="majorEastAsia" w:hAnsi="Segoe UI" w:cs="Segoe UI"/>
          <w:sz w:val="21"/>
          <w:szCs w:val="21"/>
        </w:rPr>
        <w:t xml:space="preserve"> safety reporting, closing remaining stakeholder feedback loops on safety comms, and finalizing the bot deployment path after rejecting a Teams-based option due to an estimated ~$50K/year cost for 1,000 users.</w:t>
      </w:r>
    </w:p>
    <w:p w14:paraId="5DABDBE4" w14:textId="349D97AA" w:rsidR="007F1A30" w:rsidRDefault="007F1A30" w:rsidP="00C36FE0">
      <w:pPr>
        <w:pStyle w:val="NormalWeb"/>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Marine</w:t>
      </w:r>
      <w:proofErr w:type="gramEnd"/>
      <w:r>
        <w:rPr>
          <w:rStyle w:val="Strong"/>
          <w:rFonts w:ascii="Segoe UI" w:eastAsiaTheme="majorEastAsia" w:hAnsi="Segoe UI" w:cs="Segoe UI"/>
          <w:sz w:val="21"/>
          <w:szCs w:val="21"/>
        </w:rPr>
        <w:t xml:space="preserve"> Insights Analytics Platform (Marine Operations):</w:t>
      </w:r>
      <w:r>
        <w:rPr>
          <w:rFonts w:ascii="Segoe UI" w:hAnsi="Segoe UI" w:cs="Segoe UI"/>
          <w:sz w:val="21"/>
          <w:szCs w:val="21"/>
        </w:rPr>
        <w:t xml:space="preserve"> </w:t>
      </w:r>
      <w:r w:rsidR="00C36FE0" w:rsidRPr="00C36FE0">
        <w:rPr>
          <w:rFonts w:ascii="Segoe UI" w:hAnsi="Segoe UI" w:cs="Segoe UI"/>
          <w:sz w:val="21"/>
          <w:szCs w:val="21"/>
        </w:rPr>
        <w:t xml:space="preserve">Teams advanced MIAP Phase IV and Newbuild delivery by standing up core Azure and Databricks infrastructure, initiating Agent Serving via a </w:t>
      </w:r>
      <w:proofErr w:type="spellStart"/>
      <w:r w:rsidR="00C36FE0" w:rsidRPr="00C36FE0">
        <w:rPr>
          <w:rFonts w:ascii="Segoe UI" w:hAnsi="Segoe UI" w:cs="Segoe UI"/>
          <w:sz w:val="21"/>
          <w:szCs w:val="21"/>
        </w:rPr>
        <w:t>FastAPI</w:t>
      </w:r>
      <w:proofErr w:type="spellEnd"/>
      <w:r w:rsidR="00C36FE0" w:rsidRPr="00C36FE0">
        <w:rPr>
          <w:rFonts w:ascii="Segoe UI" w:hAnsi="Segoe UI" w:cs="Segoe UI"/>
          <w:sz w:val="21"/>
          <w:szCs w:val="21"/>
        </w:rPr>
        <w:t xml:space="preserve"> container, and completing HVAC tag mapping across Radiance, Serenade, Millennium, and Jewel—enabling expanded digital twin coverage and downstream optimization. Teams also progressed high</w:t>
      </w:r>
      <w:r w:rsidR="00C36FE0" w:rsidRPr="00C36FE0">
        <w:rPr>
          <w:rFonts w:ascii="Segoe UI" w:hAnsi="Segoe UI" w:cs="Segoe UI"/>
          <w:sz w:val="21"/>
          <w:szCs w:val="21"/>
        </w:rPr>
        <w:noBreakHyphen/>
        <w:t xml:space="preserve">impact integration and modeling work by onboarding OFB data into the MIAP API (including external vendor access), stabilizing production monitoring and ETL workflows, isolating fuel-consumption inaccuracies to the SFOC layer while confirming power prediction integrity, and fixing multiple Digital Twin and FACTS integration defects to restore model reliability. </w:t>
      </w:r>
      <w:r w:rsidR="00C36FE0" w:rsidRPr="00C36FE0">
        <w:rPr>
          <w:rFonts w:ascii="Segoe UI" w:hAnsi="Segoe UI" w:cs="Segoe UI"/>
          <w:i/>
          <w:iCs/>
          <w:sz w:val="21"/>
          <w:szCs w:val="21"/>
        </w:rPr>
        <w:t>Teams are focusing on validating new data-retention logic in PostgreSQL, resolving remaining MIAP ETL failures, completing SFOC and propulsion-model remediation, and advancing digitization of the Prime deployment simulator into a reusable Python optimization package while developing Newbuild-facing materials to support executive confidence and alignment.</w:t>
      </w:r>
    </w:p>
    <w:p w14:paraId="251FAA5F"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Supply</w:t>
      </w:r>
      <w:proofErr w:type="gramEnd"/>
      <w:r>
        <w:rPr>
          <w:rStyle w:val="Strong"/>
          <w:rFonts w:ascii="Segoe UI" w:eastAsiaTheme="majorEastAsia" w:hAnsi="Segoe UI" w:cs="Segoe UI"/>
          <w:sz w:val="21"/>
          <w:szCs w:val="21"/>
        </w:rPr>
        <w:t xml:space="preserve"> Chain Optimization:</w:t>
      </w:r>
      <w:r>
        <w:rPr>
          <w:rFonts w:ascii="Segoe UI" w:hAnsi="Segoe UI" w:cs="Segoe UI"/>
          <w:sz w:val="21"/>
          <w:szCs w:val="21"/>
        </w:rPr>
        <w:t xml:space="preserve"> Teams refactored the finance tool into an orchestrated, modular structure (breaking monolith notebooks into smaller components) and confirmed data integrity via testing that matched row counts and distributions end-to-end, reducing run risk while improving readability and compute efficiency. Teams also delivered major planning-data reliability upgrades: corrected CocoCay IBP extracts by using AVG (not SUM) for shared-destination demand pivots, implemented SSC Cost Movement V4 normalized by MAX_CAPACITY for stability under volatile guest counts, and built an end-to-end Silversea Crew Count Forecast ETL that links voyage data to uniform </w:t>
      </w:r>
      <w:r>
        <w:rPr>
          <w:rFonts w:ascii="Segoe UI" w:hAnsi="Segoe UI" w:cs="Segoe UI"/>
          <w:sz w:val="21"/>
          <w:szCs w:val="21"/>
        </w:rPr>
        <w:lastRenderedPageBreak/>
        <w:t xml:space="preserve">reports with time-aware matching and ship-code reconciliation across 14 vessels (including a parity-check stored procedure for validation). </w:t>
      </w:r>
      <w:r>
        <w:rPr>
          <w:rStyle w:val="Emphasis"/>
          <w:rFonts w:ascii="Segoe UI" w:eastAsiaTheme="majorEastAsia" w:hAnsi="Segoe UI" w:cs="Segoe UI"/>
          <w:sz w:val="21"/>
          <w:szCs w:val="21"/>
        </w:rPr>
        <w:t>Teams are focusing on resolving post</w:t>
      </w:r>
      <w:r>
        <w:rPr>
          <w:rStyle w:val="Emphasis"/>
          <w:rFonts w:ascii="Segoe UI" w:eastAsiaTheme="majorEastAsia" w:hAnsi="Segoe UI" w:cs="Segoe UI"/>
          <w:sz w:val="21"/>
          <w:szCs w:val="21"/>
        </w:rPr>
        <w:noBreakHyphen/>
        <w:t>July</w:t>
      </w:r>
      <w:r>
        <w:rPr>
          <w:rStyle w:val="Emphasis"/>
          <w:rFonts w:ascii="Segoe UI" w:eastAsiaTheme="majorEastAsia" w:hAnsi="Segoe UI" w:cs="Segoe UI"/>
          <w:sz w:val="21"/>
          <w:szCs w:val="21"/>
        </w:rPr>
        <w:noBreakHyphen/>
        <w:t>2025 crew-count anomalies, integrating contract-length logic where required, and completing remaining accuracy validations and cadence fixes that impact downstream planning and reporting.</w:t>
      </w:r>
    </w:p>
    <w:p w14:paraId="4AD7D19B"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Win</w:t>
      </w:r>
      <w:proofErr w:type="gramEnd"/>
      <w:r>
        <w:rPr>
          <w:rStyle w:val="Strong"/>
          <w:rFonts w:ascii="Segoe UI" w:eastAsiaTheme="majorEastAsia" w:hAnsi="Segoe UI" w:cs="Segoe UI"/>
          <w:sz w:val="21"/>
          <w:szCs w:val="21"/>
        </w:rPr>
        <w:t>-on-Waste (Hotel Operations):</w:t>
      </w:r>
      <w:r>
        <w:rPr>
          <w:rFonts w:ascii="Segoe UI" w:hAnsi="Segoe UI" w:cs="Segoe UI"/>
          <w:sz w:val="21"/>
          <w:szCs w:val="21"/>
        </w:rPr>
        <w:t xml:space="preserve"> Teams completed end-to-end development of the new demand-regime-aware feature engineering foundation (pre-</w:t>
      </w:r>
      <w:proofErr w:type="spellStart"/>
      <w:r>
        <w:rPr>
          <w:rFonts w:ascii="Segoe UI" w:hAnsi="Segoe UI" w:cs="Segoe UI"/>
          <w:sz w:val="21"/>
          <w:szCs w:val="21"/>
        </w:rPr>
        <w:t>featureengineering</w:t>
      </w:r>
      <w:proofErr w:type="spellEnd"/>
      <w:r>
        <w:rPr>
          <w:rFonts w:ascii="Segoe UI" w:hAnsi="Segoe UI" w:cs="Segoe UI"/>
          <w:sz w:val="21"/>
          <w:szCs w:val="21"/>
        </w:rPr>
        <w:t xml:space="preserve"> + </w:t>
      </w:r>
      <w:proofErr w:type="spellStart"/>
      <w:proofErr w:type="gramStart"/>
      <w:r>
        <w:rPr>
          <w:rFonts w:ascii="Segoe UI" w:hAnsi="Segoe UI" w:cs="Segoe UI"/>
          <w:sz w:val="21"/>
          <w:szCs w:val="21"/>
        </w:rPr>
        <w:t>featureengineering</w:t>
      </w:r>
      <w:proofErr w:type="spellEnd"/>
      <w:proofErr w:type="gramEnd"/>
      <w:r>
        <w:rPr>
          <w:rFonts w:ascii="Segoe UI" w:hAnsi="Segoe UI" w:cs="Segoe UI"/>
          <w:sz w:val="21"/>
          <w:szCs w:val="21"/>
        </w:rPr>
        <w:t xml:space="preserve">), generating three feature streams (outlier detection, regime identification, and regression forecasting) and fully integrating it into the POS orchestrator pipeline. Teams also delivered a new POS PLU mismatch reports pipeline in Databricks integrated with Power BI for automated daily distribution to stakeholders (development complete). </w:t>
      </w:r>
      <w:r>
        <w:rPr>
          <w:rStyle w:val="Emphasis"/>
          <w:rFonts w:ascii="Segoe UI" w:eastAsiaTheme="majorEastAsia" w:hAnsi="Segoe UI" w:cs="Segoe UI"/>
          <w:sz w:val="21"/>
          <w:szCs w:val="21"/>
        </w:rPr>
        <w:t>Teams are focusing on replicating the same feature architecture into the Guard Rail orchestrator, completing testing/validation for PLU mismatch reporting, and building the optimization-based rules engine that combines model outputs into final regime-aware forecast decisions.</w:t>
      </w:r>
    </w:p>
    <w:p w14:paraId="54911201"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Customer</w:t>
      </w:r>
      <w:proofErr w:type="gramEnd"/>
      <w:r>
        <w:rPr>
          <w:rStyle w:val="Strong"/>
          <w:rFonts w:ascii="Segoe UI" w:eastAsiaTheme="majorEastAsia" w:hAnsi="Segoe UI" w:cs="Segoe UI"/>
          <w:sz w:val="21"/>
          <w:szCs w:val="21"/>
        </w:rPr>
        <w:t xml:space="preserve"> Lifetime Value (Corporate Planning):</w:t>
      </w:r>
      <w:r>
        <w:rPr>
          <w:rFonts w:ascii="Segoe UI" w:hAnsi="Segoe UI" w:cs="Segoe UI"/>
          <w:sz w:val="21"/>
          <w:szCs w:val="21"/>
        </w:rPr>
        <w:t xml:space="preserve"> Teams delivered executive-ready model diagnostics (rank prediction views, residual distributions, and interactive SHAP feature plots) and shared early feature-importance findings to improve transparency of key value drivers. Teams also refactored the data loading/cleaning pipeline to enforce reproducibility and embedded structural validations using competitor earnings-report signals to harden inputs for planning-grade forecasting. </w:t>
      </w:r>
      <w:r>
        <w:rPr>
          <w:rStyle w:val="Emphasis"/>
          <w:rFonts w:ascii="Segoe UI" w:eastAsiaTheme="majorEastAsia" w:hAnsi="Segoe UI" w:cs="Segoe UI"/>
          <w:sz w:val="21"/>
          <w:szCs w:val="21"/>
        </w:rPr>
        <w:t xml:space="preserve">Teams are focusing on reducing model error through tuning and improved supervision while closing gaps in competitor pricing/deployment data (including interpolation and </w:t>
      </w:r>
      <w:proofErr w:type="gramStart"/>
      <w:r>
        <w:rPr>
          <w:rStyle w:val="Emphasis"/>
          <w:rFonts w:ascii="Segoe UI" w:eastAsiaTheme="majorEastAsia" w:hAnsi="Segoe UI" w:cs="Segoe UI"/>
          <w:sz w:val="21"/>
          <w:szCs w:val="21"/>
        </w:rPr>
        <w:t>bot</w:t>
      </w:r>
      <w:proofErr w:type="gramEnd"/>
      <w:r>
        <w:rPr>
          <w:rStyle w:val="Emphasis"/>
          <w:rFonts w:ascii="Segoe UI" w:eastAsiaTheme="majorEastAsia" w:hAnsi="Segoe UI" w:cs="Segoe UI"/>
          <w:sz w:val="21"/>
          <w:szCs w:val="21"/>
        </w:rPr>
        <w:t>-pricing cleanup).</w:t>
      </w:r>
    </w:p>
    <w:p w14:paraId="5C6CA360" w14:textId="77777777" w:rsidR="007F1A30" w:rsidRDefault="007F1A30" w:rsidP="007F1A30">
      <w:pPr>
        <w:pStyle w:val="NormalWeb"/>
        <w:spacing w:line="300" w:lineRule="atLeast"/>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Customer</w:t>
      </w:r>
      <w:proofErr w:type="gramEnd"/>
      <w:r>
        <w:rPr>
          <w:rStyle w:val="Strong"/>
          <w:rFonts w:ascii="Segoe UI" w:eastAsiaTheme="majorEastAsia" w:hAnsi="Segoe UI" w:cs="Segoe UI"/>
          <w:sz w:val="21"/>
          <w:szCs w:val="21"/>
        </w:rPr>
        <w:t xml:space="preserve"> Targeting (E-Commerce):</w:t>
      </w:r>
      <w:r>
        <w:rPr>
          <w:rFonts w:ascii="Segoe UI" w:hAnsi="Segoe UI" w:cs="Segoe UI"/>
          <w:sz w:val="21"/>
          <w:szCs w:val="21"/>
        </w:rPr>
        <w:t xml:space="preserve"> Teams delivered source-governance and reliability improvements by building a centralized notebook that inventories feature-building source tables, checks recent DML/DDL activity, writes results to a unified metadata table, and runs validation as the first step of the training pipeline; a </w:t>
      </w:r>
      <w:proofErr w:type="spellStart"/>
      <w:r>
        <w:rPr>
          <w:rFonts w:ascii="Segoe UI" w:hAnsi="Segoe UI" w:cs="Segoe UI"/>
          <w:sz w:val="21"/>
          <w:szCs w:val="21"/>
        </w:rPr>
        <w:t>Streamlit</w:t>
      </w:r>
      <w:proofErr w:type="spellEnd"/>
      <w:r>
        <w:rPr>
          <w:rFonts w:ascii="Segoe UI" w:hAnsi="Segoe UI" w:cs="Segoe UI"/>
          <w:sz w:val="21"/>
          <w:szCs w:val="21"/>
        </w:rPr>
        <w:t xml:space="preserve"> enhancement now surfaces these sources and flags tables needing investigation. Teams also reset the Journey Score initiative with stakeholders by shifting from a classification approach to explainable unsupervised clustering to complement the booking propensity model and improve actionability of segment outputs. </w:t>
      </w:r>
      <w:r>
        <w:rPr>
          <w:rStyle w:val="Emphasis"/>
          <w:rFonts w:ascii="Segoe UI" w:eastAsiaTheme="majorEastAsia" w:hAnsi="Segoe UI" w:cs="Segoe UI"/>
          <w:sz w:val="21"/>
          <w:szCs w:val="21"/>
        </w:rPr>
        <w:t>Teams are focusing on resolving access restrictions blocking propensity-score comparisons, completing manual QA on the refactored pipeline, and progressing clickstream/app EDA and feature build once remaining data delivery constraints clear.</w:t>
      </w:r>
    </w:p>
    <w:p w14:paraId="4EC4931C" w14:textId="77777777" w:rsidR="007F1A30" w:rsidRDefault="007F1A30" w:rsidP="007F1A30">
      <w:pPr>
        <w:pStyle w:val="NormalWeb"/>
        <w:spacing w:line="300" w:lineRule="atLeast"/>
        <w:rPr>
          <w:rStyle w:val="Emphasis"/>
          <w:rFonts w:ascii="Segoe UI" w:eastAsiaTheme="majorEastAsia"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Hybris</w:t>
      </w:r>
      <w:proofErr w:type="gramEnd"/>
      <w:r>
        <w:rPr>
          <w:rStyle w:val="Strong"/>
          <w:rFonts w:ascii="Segoe UI" w:eastAsiaTheme="majorEastAsia" w:hAnsi="Segoe UI" w:cs="Segoe UI"/>
          <w:sz w:val="21"/>
          <w:szCs w:val="21"/>
        </w:rPr>
        <w:t xml:space="preserve"> Product Recommendations (Digital):</w:t>
      </w:r>
      <w:r>
        <w:rPr>
          <w:rFonts w:ascii="Segoe UI" w:hAnsi="Segoe UI" w:cs="Segoe UI"/>
          <w:sz w:val="21"/>
          <w:szCs w:val="21"/>
        </w:rPr>
        <w:t xml:space="preserve"> Teams advanced the recommender strategy by presenting a graph-based item recommender that captures product relationships under sparse baskets, improves </w:t>
      </w:r>
      <w:proofErr w:type="spellStart"/>
      <w:r>
        <w:rPr>
          <w:rFonts w:ascii="Segoe UI" w:hAnsi="Segoe UI" w:cs="Segoe UI"/>
          <w:sz w:val="21"/>
          <w:szCs w:val="21"/>
        </w:rPr>
        <w:t>backtesting</w:t>
      </w:r>
      <w:proofErr w:type="spellEnd"/>
      <w:r>
        <w:rPr>
          <w:rFonts w:ascii="Segoe UI" w:hAnsi="Segoe UI" w:cs="Segoe UI"/>
          <w:sz w:val="21"/>
          <w:szCs w:val="21"/>
        </w:rPr>
        <w:t xml:space="preserve"> precision/recall, and keeps the API fast via precomputed recommendations—directly targeting known recommendation gaps. Teams also defined a standardized A/B testing approach after persistent replication discrepancies, ensuring future tests use consistent transformations so measured lift reflects product impact rather than methodological variance. </w:t>
      </w:r>
      <w:r>
        <w:rPr>
          <w:rStyle w:val="Emphasis"/>
          <w:rFonts w:ascii="Segoe UI" w:eastAsiaTheme="majorEastAsia" w:hAnsi="Segoe UI" w:cs="Segoe UI"/>
          <w:sz w:val="21"/>
          <w:szCs w:val="21"/>
        </w:rPr>
        <w:t>Teams are focusing on implementing the standardized testing pipeline and expanding the graph-based approach across additional product categories to improve recommendation relevance at scale.</w:t>
      </w:r>
    </w:p>
    <w:p w14:paraId="7B4D8EDD" w14:textId="3E7D1F24" w:rsidR="00A052F6" w:rsidRPr="00A052F6" w:rsidRDefault="00A052F6" w:rsidP="00A052F6">
      <w:pPr>
        <w:pStyle w:val="NormalWeb"/>
        <w:rPr>
          <w:rFonts w:ascii="Segoe UI" w:hAnsi="Segoe UI" w:cs="Segoe UI"/>
          <w:sz w:val="21"/>
          <w:szCs w:val="21"/>
        </w:rPr>
      </w:pPr>
      <w:proofErr w:type="gramStart"/>
      <w:r>
        <w:rPr>
          <w:rFonts w:ascii="Segoe UI" w:hAnsi="Symbol" w:cs="Segoe UI"/>
          <w:sz w:val="21"/>
          <w:szCs w:val="21"/>
        </w:rPr>
        <w:lastRenderedPageBreak/>
        <w:t></w:t>
      </w:r>
      <w:r>
        <w:rPr>
          <w:rFonts w:ascii="Segoe UI" w:hAnsi="Segoe UI" w:cs="Segoe UI"/>
          <w:sz w:val="21"/>
          <w:szCs w:val="21"/>
        </w:rPr>
        <w:t xml:space="preserve">  </w:t>
      </w:r>
      <w:r w:rsidRPr="00A052F6">
        <w:rPr>
          <w:rFonts w:ascii="Segoe UI" w:hAnsi="Segoe UI" w:cs="Segoe UI"/>
          <w:b/>
          <w:bCs/>
          <w:sz w:val="21"/>
          <w:szCs w:val="21"/>
        </w:rPr>
        <w:t>Newbuild</w:t>
      </w:r>
      <w:proofErr w:type="gramEnd"/>
      <w:r w:rsidRPr="00A052F6">
        <w:rPr>
          <w:rFonts w:ascii="Segoe UI" w:hAnsi="Segoe UI" w:cs="Segoe UI"/>
          <w:b/>
          <w:bCs/>
          <w:sz w:val="21"/>
          <w:szCs w:val="21"/>
        </w:rPr>
        <w:t>:</w:t>
      </w:r>
      <w:r w:rsidRPr="00A052F6">
        <w:rPr>
          <w:rFonts w:ascii="Segoe UI" w:hAnsi="Segoe UI" w:cs="Segoe UI"/>
          <w:sz w:val="21"/>
          <w:szCs w:val="21"/>
        </w:rPr>
        <w:t xml:space="preserve"> Teams stood up the core Newbuild AI and data platform by provisioning Azure AI Foundry, Azure AI Search, Data Lake, Key Vault, Databricks, API and Web App container services, and establishing the Databricks catalog—creating the foundation for internal agent-based AI delivery. Teams also initiated development of the Agent Serving </w:t>
      </w:r>
      <w:proofErr w:type="spellStart"/>
      <w:r w:rsidRPr="00A052F6">
        <w:rPr>
          <w:rFonts w:ascii="Segoe UI" w:hAnsi="Segoe UI" w:cs="Segoe UI"/>
          <w:sz w:val="21"/>
          <w:szCs w:val="21"/>
        </w:rPr>
        <w:t>FastAPI</w:t>
      </w:r>
      <w:proofErr w:type="spellEnd"/>
      <w:r w:rsidRPr="00A052F6">
        <w:rPr>
          <w:rFonts w:ascii="Segoe UI" w:hAnsi="Segoe UI" w:cs="Segoe UI"/>
          <w:sz w:val="21"/>
          <w:szCs w:val="21"/>
        </w:rPr>
        <w:t xml:space="preserve"> container and aligned with Newbuild stakeholders on agent architecture, agreeing to produce clear marketing and progress materials to support leadership confidence and adoption. </w:t>
      </w:r>
      <w:r w:rsidRPr="00A052F6">
        <w:rPr>
          <w:rFonts w:ascii="Segoe UI" w:hAnsi="Segoe UI" w:cs="Segoe UI"/>
          <w:i/>
          <w:iCs/>
          <w:sz w:val="21"/>
          <w:szCs w:val="21"/>
        </w:rPr>
        <w:t>Teams are focusing on advancing the agent-serving implementation, completing Newbuild-facing materials that articulate value and architecture, and continuing integration readiness as security and stakeholder questions are addressed.</w:t>
      </w:r>
    </w:p>
    <w:p w14:paraId="696EAEA4" w14:textId="5C2B5815" w:rsidR="00A052F6" w:rsidRPr="00A052F6" w:rsidRDefault="00A052F6" w:rsidP="00A052F6">
      <w:pPr>
        <w:pStyle w:val="NormalWeb"/>
        <w:rPr>
          <w:rFonts w:ascii="Segoe UI" w:hAnsi="Segoe UI" w:cs="Segoe UI"/>
          <w:sz w:val="21"/>
          <w:szCs w:val="21"/>
        </w:rPr>
      </w:pPr>
      <w:proofErr w:type="gramStart"/>
      <w:r>
        <w:rPr>
          <w:rFonts w:ascii="Segoe UI" w:hAnsi="Symbol" w:cs="Segoe UI"/>
          <w:sz w:val="21"/>
          <w:szCs w:val="21"/>
        </w:rPr>
        <w:t></w:t>
      </w:r>
      <w:r>
        <w:rPr>
          <w:rFonts w:ascii="Segoe UI" w:hAnsi="Segoe UI" w:cs="Segoe UI"/>
          <w:sz w:val="21"/>
          <w:szCs w:val="21"/>
        </w:rPr>
        <w:t xml:space="preserve">  </w:t>
      </w:r>
      <w:r w:rsidRPr="00A052F6">
        <w:rPr>
          <w:rFonts w:ascii="Segoe UI" w:hAnsi="Segoe UI" w:cs="Segoe UI"/>
          <w:b/>
          <w:bCs/>
          <w:sz w:val="21"/>
          <w:szCs w:val="21"/>
        </w:rPr>
        <w:t>Deployment</w:t>
      </w:r>
      <w:proofErr w:type="gramEnd"/>
      <w:r w:rsidRPr="00A052F6">
        <w:rPr>
          <w:rFonts w:ascii="Segoe UI" w:hAnsi="Segoe UI" w:cs="Segoe UI"/>
          <w:b/>
          <w:bCs/>
          <w:sz w:val="21"/>
          <w:szCs w:val="21"/>
        </w:rPr>
        <w:t>:</w:t>
      </w:r>
      <w:r w:rsidRPr="00A052F6">
        <w:rPr>
          <w:rFonts w:ascii="Segoe UI" w:hAnsi="Segoe UI" w:cs="Segoe UI"/>
          <w:sz w:val="21"/>
          <w:szCs w:val="21"/>
        </w:rPr>
        <w:t xml:space="preserve"> Teams initiated the digitization of the legacy Prime deployment simulator by aligning with the Deployment Team on a Python-based rebuild designed as a reusable mathematical optimization package, setting a clear path from prototype to production-grade tooling for deployment cost and revenue simulation. In parallel, teams advanced cross-functional alignment by identifying required </w:t>
      </w:r>
      <w:proofErr w:type="spellStart"/>
      <w:r w:rsidRPr="00A052F6">
        <w:rPr>
          <w:rFonts w:ascii="Segoe UI" w:hAnsi="Segoe UI" w:cs="Segoe UI"/>
          <w:sz w:val="21"/>
          <w:szCs w:val="21"/>
        </w:rPr>
        <w:t>CapEx</w:t>
      </w:r>
      <w:proofErr w:type="spellEnd"/>
      <w:r w:rsidRPr="00A052F6">
        <w:rPr>
          <w:rFonts w:ascii="Segoe UI" w:hAnsi="Segoe UI" w:cs="Segoe UI"/>
          <w:sz w:val="21"/>
          <w:szCs w:val="21"/>
        </w:rPr>
        <w:t xml:space="preserve">, </w:t>
      </w:r>
      <w:proofErr w:type="spellStart"/>
      <w:r w:rsidRPr="00A052F6">
        <w:rPr>
          <w:rFonts w:ascii="Segoe UI" w:hAnsi="Segoe UI" w:cs="Segoe UI"/>
          <w:sz w:val="21"/>
          <w:szCs w:val="21"/>
        </w:rPr>
        <w:t>OpEx</w:t>
      </w:r>
      <w:proofErr w:type="spellEnd"/>
      <w:r w:rsidRPr="00A052F6">
        <w:rPr>
          <w:rFonts w:ascii="Segoe UI" w:hAnsi="Segoe UI" w:cs="Segoe UI"/>
          <w:sz w:val="21"/>
          <w:szCs w:val="21"/>
        </w:rPr>
        <w:t xml:space="preserve">, and purchase-order data sources for IBP and confirming relevant AMOS views to support deployment and investment decisioning. </w:t>
      </w:r>
      <w:r w:rsidRPr="00A052F6">
        <w:rPr>
          <w:rFonts w:ascii="Segoe UI" w:hAnsi="Segoe UI" w:cs="Segoe UI"/>
          <w:i/>
          <w:iCs/>
          <w:sz w:val="21"/>
          <w:szCs w:val="21"/>
        </w:rPr>
        <w:t>Teams are focusing on supporting initial Prime package development by the Deployment Team, completing code review and refinement for productionization, and continuing data integration work needed to enable optimization-ready deployment planning.</w:t>
      </w:r>
    </w:p>
    <w:p w14:paraId="6D4D2349" w14:textId="77777777" w:rsidR="00A052F6" w:rsidRDefault="00A052F6" w:rsidP="007F1A30">
      <w:pPr>
        <w:pStyle w:val="NormalWeb"/>
        <w:spacing w:line="300" w:lineRule="atLeast"/>
        <w:rPr>
          <w:rFonts w:ascii="Segoe UI" w:hAnsi="Segoe UI" w:cs="Segoe UI"/>
          <w:sz w:val="21"/>
          <w:szCs w:val="21"/>
        </w:rPr>
      </w:pPr>
    </w:p>
    <w:p w14:paraId="31EA54A6"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27180"/>
    <w:multiLevelType w:val="multilevel"/>
    <w:tmpl w:val="08EA36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F6C49AC"/>
    <w:multiLevelType w:val="multilevel"/>
    <w:tmpl w:val="273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21217">
    <w:abstractNumId w:val="1"/>
  </w:num>
  <w:num w:numId="2" w16cid:durableId="40491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30"/>
    <w:rsid w:val="00002048"/>
    <w:rsid w:val="002956A2"/>
    <w:rsid w:val="0048405E"/>
    <w:rsid w:val="00737DB5"/>
    <w:rsid w:val="007F1A30"/>
    <w:rsid w:val="009871F0"/>
    <w:rsid w:val="00A052F6"/>
    <w:rsid w:val="00AC361B"/>
    <w:rsid w:val="00C36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D2D0E"/>
  <w15:chartTrackingRefBased/>
  <w15:docId w15:val="{963B8937-8F8F-42DE-A52D-7C080A5E7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30"/>
    <w:rPr>
      <w:rFonts w:eastAsiaTheme="majorEastAsia" w:cstheme="majorBidi"/>
      <w:color w:val="272727" w:themeColor="text1" w:themeTint="D8"/>
    </w:rPr>
  </w:style>
  <w:style w:type="paragraph" w:styleId="Title">
    <w:name w:val="Title"/>
    <w:basedOn w:val="Normal"/>
    <w:next w:val="Normal"/>
    <w:link w:val="TitleChar"/>
    <w:uiPriority w:val="10"/>
    <w:qFormat/>
    <w:rsid w:val="007F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30"/>
    <w:pPr>
      <w:spacing w:before="160"/>
      <w:jc w:val="center"/>
    </w:pPr>
    <w:rPr>
      <w:i/>
      <w:iCs/>
      <w:color w:val="404040" w:themeColor="text1" w:themeTint="BF"/>
    </w:rPr>
  </w:style>
  <w:style w:type="character" w:customStyle="1" w:styleId="QuoteChar">
    <w:name w:val="Quote Char"/>
    <w:basedOn w:val="DefaultParagraphFont"/>
    <w:link w:val="Quote"/>
    <w:uiPriority w:val="29"/>
    <w:rsid w:val="007F1A30"/>
    <w:rPr>
      <w:i/>
      <w:iCs/>
      <w:color w:val="404040" w:themeColor="text1" w:themeTint="BF"/>
    </w:rPr>
  </w:style>
  <w:style w:type="paragraph" w:styleId="ListParagraph">
    <w:name w:val="List Paragraph"/>
    <w:basedOn w:val="Normal"/>
    <w:uiPriority w:val="34"/>
    <w:qFormat/>
    <w:rsid w:val="007F1A30"/>
    <w:pPr>
      <w:ind w:left="720"/>
      <w:contextualSpacing/>
    </w:pPr>
  </w:style>
  <w:style w:type="character" w:styleId="IntenseEmphasis">
    <w:name w:val="Intense Emphasis"/>
    <w:basedOn w:val="DefaultParagraphFont"/>
    <w:uiPriority w:val="21"/>
    <w:qFormat/>
    <w:rsid w:val="007F1A30"/>
    <w:rPr>
      <w:i/>
      <w:iCs/>
      <w:color w:val="0F4761" w:themeColor="accent1" w:themeShade="BF"/>
    </w:rPr>
  </w:style>
  <w:style w:type="paragraph" w:styleId="IntenseQuote">
    <w:name w:val="Intense Quote"/>
    <w:basedOn w:val="Normal"/>
    <w:next w:val="Normal"/>
    <w:link w:val="IntenseQuoteChar"/>
    <w:uiPriority w:val="30"/>
    <w:qFormat/>
    <w:rsid w:val="007F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A30"/>
    <w:rPr>
      <w:i/>
      <w:iCs/>
      <w:color w:val="0F4761" w:themeColor="accent1" w:themeShade="BF"/>
    </w:rPr>
  </w:style>
  <w:style w:type="character" w:styleId="IntenseReference">
    <w:name w:val="Intense Reference"/>
    <w:basedOn w:val="DefaultParagraphFont"/>
    <w:uiPriority w:val="32"/>
    <w:qFormat/>
    <w:rsid w:val="007F1A30"/>
    <w:rPr>
      <w:b/>
      <w:bCs/>
      <w:smallCaps/>
      <w:color w:val="0F4761" w:themeColor="accent1" w:themeShade="BF"/>
      <w:spacing w:val="5"/>
    </w:rPr>
  </w:style>
  <w:style w:type="paragraph" w:styleId="NormalWeb">
    <w:name w:val="Normal (Web)"/>
    <w:basedOn w:val="Normal"/>
    <w:uiPriority w:val="99"/>
    <w:semiHidden/>
    <w:unhideWhenUsed/>
    <w:rsid w:val="007F1A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1A30"/>
    <w:rPr>
      <w:b/>
      <w:bCs/>
    </w:rPr>
  </w:style>
  <w:style w:type="character" w:styleId="Emphasis">
    <w:name w:val="Emphasis"/>
    <w:basedOn w:val="DefaultParagraphFont"/>
    <w:uiPriority w:val="20"/>
    <w:qFormat/>
    <w:rsid w:val="007F1A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1587</Words>
  <Characters>10729</Characters>
  <Application>Microsoft Office Word</Application>
  <DocSecurity>0</DocSecurity>
  <Lines>136</Lines>
  <Paragraphs>15</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5</cp:revision>
  <dcterms:created xsi:type="dcterms:W3CDTF">2026-03-06T17:00:00Z</dcterms:created>
  <dcterms:modified xsi:type="dcterms:W3CDTF">2026-03-06T19:06:00Z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2026-03-06T17:00:52Z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94fd8ab3-d530-4e72-9414-b2e7f916dd2f</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