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910DC" w14:textId="07DF180E" w:rsidR="00EB4847" w:rsidRPr="00536E1E" w:rsidRDefault="00536E1E">
      <w:pPr>
        <w:rPr>
          <w:b/>
          <w:bCs/>
        </w:rPr>
      </w:pPr>
      <w:r w:rsidRPr="00536E1E">
        <w:rPr>
          <w:b/>
          <w:bCs/>
        </w:rPr>
        <w:t>Proud:</w:t>
      </w:r>
    </w:p>
    <w:p w14:paraId="6AA13185" w14:textId="37C03EAC" w:rsidR="00536E1E" w:rsidRDefault="00536E1E" w:rsidP="00536E1E">
      <w:pPr>
        <w:pStyle w:val="ListParagraph"/>
        <w:numPr>
          <w:ilvl w:val="0"/>
          <w:numId w:val="1"/>
        </w:numPr>
      </w:pPr>
      <w:r w:rsidRPr="00536E1E">
        <w:rPr>
          <w:b/>
          <w:bCs/>
        </w:rPr>
        <w:t xml:space="preserve">Revenue Management (RCI &amp; CEL): </w:t>
      </w:r>
      <w:r>
        <w:t xml:space="preserve">A rigorous revenue benefits for the 2024 RMA CARs has been approved by Michael Goldner and will be shared with Brian Rosenthal next week. We are anticipating </w:t>
      </w:r>
      <w:proofErr w:type="gramStart"/>
      <w:r>
        <w:t>to submit</w:t>
      </w:r>
      <w:proofErr w:type="gramEnd"/>
      <w:r>
        <w:t xml:space="preserve"> the CARs for a mid-April or early May Capital Committee meeting. </w:t>
      </w:r>
    </w:p>
    <w:p w14:paraId="3BD9574A" w14:textId="2EDD2814" w:rsidR="00EB4847" w:rsidRDefault="00536E1E" w:rsidP="00EB4847">
      <w:pPr>
        <w:pStyle w:val="ListParagraph"/>
        <w:numPr>
          <w:ilvl w:val="0"/>
          <w:numId w:val="1"/>
        </w:numPr>
      </w:pPr>
      <w:r w:rsidRPr="00536E1E">
        <w:rPr>
          <w:b/>
          <w:bCs/>
        </w:rPr>
        <w:t xml:space="preserve">Onboard Revenue: </w:t>
      </w:r>
      <w:r>
        <w:t xml:space="preserve">We received approval this week by Jason Liberty to begin execution of the PCP Pricing Automation &amp; Personalization CAR next month. </w:t>
      </w:r>
    </w:p>
    <w:p w14:paraId="328F904D" w14:textId="75ADE31A" w:rsidR="00EB4847" w:rsidRDefault="00EB4847" w:rsidP="00EB4847">
      <w:pPr>
        <w:pStyle w:val="ListParagraph"/>
        <w:numPr>
          <w:ilvl w:val="0"/>
          <w:numId w:val="1"/>
        </w:numPr>
      </w:pPr>
      <w:r w:rsidRPr="00EB4847">
        <w:rPr>
          <w:b/>
          <w:bCs/>
        </w:rPr>
        <w:t>Loyalty:</w:t>
      </w:r>
      <w:r>
        <w:t xml:space="preserve"> The Data Science team continues to work closely with Deloitte &amp; E-Commerce for building the core Loyalty Simulator (due in two weeks).</w:t>
      </w:r>
      <w:r w:rsidRPr="00EB4847">
        <w:t xml:space="preserve"> </w:t>
      </w:r>
      <w:r>
        <w:t>The team is closely implementing business feedback on requalification (e.g. i</w:t>
      </w:r>
      <w:r>
        <w:t>mplementing requalification on odd years</w:t>
      </w:r>
      <w:r>
        <w:t xml:space="preserve">, a customizable start date of the new Loyalty Program, and 2-year grace periods) and has developed a POC for forward-looking simulation that reflects a rough draft on future RCI/CEL deployment (up to 2027). </w:t>
      </w:r>
    </w:p>
    <w:p w14:paraId="1FA7E925" w14:textId="6B73DC3E" w:rsidR="00536E1E" w:rsidRPr="00536E1E" w:rsidRDefault="00536E1E" w:rsidP="00536E1E">
      <w:pPr>
        <w:rPr>
          <w:b/>
          <w:bCs/>
        </w:rPr>
      </w:pPr>
      <w:r w:rsidRPr="00536E1E">
        <w:rPr>
          <w:b/>
          <w:bCs/>
        </w:rPr>
        <w:t>Concerned:</w:t>
      </w:r>
    </w:p>
    <w:p w14:paraId="4CCF4D3F" w14:textId="69BCEFCD" w:rsidR="00536E1E" w:rsidRDefault="00536E1E" w:rsidP="00536E1E">
      <w:pPr>
        <w:pStyle w:val="ListParagraph"/>
        <w:numPr>
          <w:ilvl w:val="0"/>
          <w:numId w:val="1"/>
        </w:numPr>
      </w:pPr>
      <w:r w:rsidRPr="00536E1E">
        <w:rPr>
          <w:b/>
          <w:bCs/>
        </w:rPr>
        <w:t>Hiring:</w:t>
      </w:r>
      <w:r>
        <w:t xml:space="preserve"> We still need to be able to hire </w:t>
      </w:r>
      <w:proofErr w:type="gramStart"/>
      <w:r>
        <w:t>a</w:t>
      </w:r>
      <w:proofErr w:type="gramEnd"/>
      <w:r>
        <w:t xml:space="preserve"> FTE for the Silversea RM. We were able to successfully get Finance &amp; Accounting feedback that we can accelerate hiring through an external partner for CARs and expense the “Finder’s fee” to the CAR. </w:t>
      </w:r>
    </w:p>
    <w:p w14:paraId="48968F5E" w14:textId="0963EB8D" w:rsidR="00536E1E" w:rsidRDefault="00536E1E" w:rsidP="00536E1E">
      <w:pPr>
        <w:rPr>
          <w:b/>
          <w:bCs/>
        </w:rPr>
      </w:pPr>
      <w:r w:rsidRPr="00536E1E">
        <w:rPr>
          <w:b/>
          <w:bCs/>
        </w:rPr>
        <w:t xml:space="preserve">Excited: </w:t>
      </w:r>
    </w:p>
    <w:p w14:paraId="76FE5320" w14:textId="30D81AF8" w:rsidR="00536E1E" w:rsidRPr="00EB4847" w:rsidRDefault="00536E1E" w:rsidP="0050681A">
      <w:pPr>
        <w:pStyle w:val="ListParagraph"/>
        <w:numPr>
          <w:ilvl w:val="0"/>
          <w:numId w:val="1"/>
        </w:numPr>
        <w:rPr>
          <w:b/>
          <w:bCs/>
        </w:rPr>
      </w:pPr>
      <w:r w:rsidRPr="00EB4847">
        <w:rPr>
          <w:b/>
          <w:bCs/>
        </w:rPr>
        <w:t xml:space="preserve">Conversational AI: </w:t>
      </w:r>
      <w:r w:rsidRPr="00536E1E">
        <w:t>Digital has reached out to use SIREN</w:t>
      </w:r>
      <w:r w:rsidR="00EB4847">
        <w:t xml:space="preserve"> (</w:t>
      </w:r>
      <w:r w:rsidRPr="00536E1E">
        <w:t>our in-house tool for evaluating intent classification at the Contact Center</w:t>
      </w:r>
      <w:r w:rsidR="00EB4847">
        <w:t xml:space="preserve">) </w:t>
      </w:r>
      <w:r w:rsidRPr="00536E1E">
        <w:t>for</w:t>
      </w:r>
      <w:r w:rsidRPr="00EB4847">
        <w:rPr>
          <w:b/>
          <w:bCs/>
        </w:rPr>
        <w:t xml:space="preserve"> </w:t>
      </w:r>
      <w:r>
        <w:t xml:space="preserve">evaluating </w:t>
      </w:r>
      <w:r w:rsidR="00EB4847">
        <w:t xml:space="preserve">the </w:t>
      </w:r>
      <w:r>
        <w:t xml:space="preserve">performance of the </w:t>
      </w:r>
      <w:r w:rsidR="00EB4847">
        <w:t>Shipboard virtual agent (</w:t>
      </w:r>
      <w:r w:rsidR="00EB4847" w:rsidRPr="00EB4847">
        <w:t>Google CCAI/</w:t>
      </w:r>
      <w:proofErr w:type="spellStart"/>
      <w:r w:rsidR="00EB4847" w:rsidRPr="00EB4847">
        <w:t>Dialogflow</w:t>
      </w:r>
      <w:proofErr w:type="spellEnd"/>
      <w:r w:rsidR="00EB4847">
        <w:t xml:space="preserve">) at deflecting Guest Services requests. We will be beginning the work next week and, in anticipation of this work, have completed deployment of </w:t>
      </w:r>
      <w:r w:rsidRPr="00EB4847">
        <w:t xml:space="preserve">Siren &amp; all </w:t>
      </w:r>
      <w:r w:rsidR="00EB4847">
        <w:t xml:space="preserve">associated </w:t>
      </w:r>
      <w:r w:rsidRPr="00EB4847">
        <w:t xml:space="preserve">NLP models to </w:t>
      </w:r>
      <w:r w:rsidRPr="00EB4847">
        <w:t>Production</w:t>
      </w:r>
      <w:r w:rsidRPr="00EB4847">
        <w:t xml:space="preserve"> with daily refreshes</w:t>
      </w:r>
      <w:r w:rsidRPr="00EB4847">
        <w:t xml:space="preserve"> for the Contact Center</w:t>
      </w:r>
      <w:r w:rsidRPr="00EB4847">
        <w:t>.</w:t>
      </w:r>
    </w:p>
    <w:sectPr w:rsidR="00536E1E" w:rsidRPr="00EB4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669BE"/>
    <w:multiLevelType w:val="hybridMultilevel"/>
    <w:tmpl w:val="D6B45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691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1E"/>
    <w:rsid w:val="00163CC7"/>
    <w:rsid w:val="00536E1E"/>
    <w:rsid w:val="005543ED"/>
    <w:rsid w:val="00CC4355"/>
    <w:rsid w:val="00EB4847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F5E1"/>
  <w15:chartTrackingRefBased/>
  <w15:docId w15:val="{E11905BA-12F1-40C3-ADDC-A81E2179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2" ma:contentTypeDescription="Create a new document." ma:contentTypeScope="" ma:versionID="ce4a75bd5dd2265893358fd259103d32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7b27f71630d3a02578929a4acb6cf745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495D87-F798-4A27-B58B-600C5C1BA535}"/>
</file>

<file path=customXml/itemProps2.xml><?xml version="1.0" encoding="utf-8"?>
<ds:datastoreItem xmlns:ds="http://schemas.openxmlformats.org/officeDocument/2006/customXml" ds:itemID="{02B8FA94-6207-428F-AD2B-F72816F934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2024-03-22T13:51:00Z</dcterms:created>
  <dcterms:modified xsi:type="dcterms:W3CDTF">2024-03-22T14:09:00Z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c5805f-d305-46e8-89c7-07ed0d88c99b_Enabled">
    <vt:lpwstr>true</vt:lpwstr>
  </property>
  <property fmtid="{D5CDD505-2E9C-101B-9397-08002B2CF9AE}" pid="3" name="MSIP_Label_c4c5805f-d305-46e8-89c7-07ed0d88c99b_SetDate">
    <vt:lpwstr>2024-03-22T14:08:45Z</vt:lpwstr>
  </property>
  <property fmtid="{D5CDD505-2E9C-101B-9397-08002B2CF9AE}" pid="4" name="MSIP_Label_c4c5805f-d305-46e8-89c7-07ed0d88c99b_Method">
    <vt:lpwstr>Standard</vt:lpwstr>
  </property>
  <property fmtid="{D5CDD505-2E9C-101B-9397-08002B2CF9AE}" pid="5" name="MSIP_Label_c4c5805f-d305-46e8-89c7-07ed0d88c99b_Name">
    <vt:lpwstr>General</vt:lpwstr>
  </property>
  <property fmtid="{D5CDD505-2E9C-101B-9397-08002B2CF9AE}" pid="6" name="MSIP_Label_c4c5805f-d305-46e8-89c7-07ed0d88c99b_SiteId">
    <vt:lpwstr>1caa43b8-bf09-48b6-9b3c-bd5a56fec019</vt:lpwstr>
  </property>
  <property fmtid="{D5CDD505-2E9C-101B-9397-08002B2CF9AE}" pid="7" name="MSIP_Label_c4c5805f-d305-46e8-89c7-07ed0d88c99b_ActionId">
    <vt:lpwstr>d02ca759-5a2b-49c8-8f33-a9965006db3f</vt:lpwstr>
  </property>
  <property fmtid="{D5CDD505-2E9C-101B-9397-08002B2CF9AE}" pid="8" name="MSIP_Label_c4c5805f-d305-46e8-89c7-07ed0d88c99b_ContentBits">
    <vt:lpwstr>0</vt:lpwstr>
  </property>
</Properties>
</file>