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29324" w14:textId="5FB806F4" w:rsidR="00D77B49" w:rsidRDefault="00D43C24">
      <w:r>
        <w:t>Proud:</w:t>
      </w:r>
    </w:p>
    <w:p w14:paraId="5882DC63" w14:textId="4B3FF1E2" w:rsidR="00D43C24" w:rsidRDefault="00D43C24" w:rsidP="00D43C24">
      <w:pPr>
        <w:pStyle w:val="ListParagraph"/>
        <w:numPr>
          <w:ilvl w:val="0"/>
          <w:numId w:val="1"/>
        </w:numPr>
        <w:rPr>
          <w:rStyle w:val="ui-provider"/>
        </w:rPr>
      </w:pPr>
      <w:r w:rsidRPr="00D43C24">
        <w:rPr>
          <w:rStyle w:val="ui-provider"/>
          <w:b/>
          <w:bCs/>
        </w:rPr>
        <w:t>Revenue Management:</w:t>
      </w:r>
      <w:r>
        <w:rPr>
          <w:rStyle w:val="ui-provider"/>
        </w:rPr>
        <w:t xml:space="preserve"> Successfully presented the 2024 RCI &amp; CEL RMA CARs to the Capital Committee with favorable feedback for current &amp; future progress.</w:t>
      </w:r>
    </w:p>
    <w:p w14:paraId="7A46E1FA" w14:textId="07E71D8E" w:rsidR="00D43C24" w:rsidRDefault="00D43C24" w:rsidP="00D43C24">
      <w:pPr>
        <w:pStyle w:val="ListParagraph"/>
        <w:numPr>
          <w:ilvl w:val="0"/>
          <w:numId w:val="1"/>
        </w:numPr>
        <w:rPr>
          <w:rStyle w:val="ui-provider"/>
        </w:rPr>
      </w:pPr>
      <w:r w:rsidRPr="00D43C24">
        <w:rPr>
          <w:rStyle w:val="ui-provider"/>
          <w:b/>
          <w:bCs/>
        </w:rPr>
        <w:t>Loyalty:</w:t>
      </w:r>
      <w:r>
        <w:rPr>
          <w:rStyle w:val="ui-provider"/>
        </w:rPr>
        <w:t xml:space="preserve"> </w:t>
      </w:r>
      <w:r>
        <w:rPr>
          <w:rStyle w:val="ui-provider"/>
        </w:rPr>
        <w:t>Adding Simulator functionality to</w:t>
      </w:r>
      <w:r>
        <w:rPr>
          <w:rStyle w:val="ui-provider"/>
        </w:rPr>
        <w:t xml:space="preserve"> evaluate lifetime status floors </w:t>
      </w:r>
      <w:r>
        <w:rPr>
          <w:rStyle w:val="ui-provider"/>
        </w:rPr>
        <w:t>for P&amp;Zs at</w:t>
      </w:r>
      <w:r>
        <w:rPr>
          <w:rStyle w:val="ui-provider"/>
        </w:rPr>
        <w:t xml:space="preserve"> the</w:t>
      </w:r>
      <w:r>
        <w:rPr>
          <w:rStyle w:val="ui-provider"/>
        </w:rPr>
        <w:t xml:space="preserve"> </w:t>
      </w:r>
      <w:r>
        <w:rPr>
          <w:rStyle w:val="ui-provider"/>
        </w:rPr>
        <w:t xml:space="preserve">new </w:t>
      </w:r>
      <w:r>
        <w:rPr>
          <w:rStyle w:val="ui-provider"/>
        </w:rPr>
        <w:t>Tier</w:t>
      </w:r>
      <w:r>
        <w:rPr>
          <w:rStyle w:val="ui-provider"/>
        </w:rPr>
        <w:t>s</w:t>
      </w:r>
      <w:r>
        <w:rPr>
          <w:rStyle w:val="ui-provider"/>
        </w:rPr>
        <w:t xml:space="preserve"> 3</w:t>
      </w:r>
      <w:r>
        <w:rPr>
          <w:rStyle w:val="ui-provider"/>
        </w:rPr>
        <w:t xml:space="preserve">, </w:t>
      </w:r>
      <w:r>
        <w:rPr>
          <w:rStyle w:val="ui-provider"/>
        </w:rPr>
        <w:t>4</w:t>
      </w:r>
      <w:r>
        <w:rPr>
          <w:rStyle w:val="ui-provider"/>
        </w:rPr>
        <w:t>, and 5</w:t>
      </w:r>
      <w:r>
        <w:rPr>
          <w:rStyle w:val="ui-provider"/>
        </w:rPr>
        <w:t xml:space="preserve">. These are separate experiment simulations that test the viability of downgrading P&amp;Zs to lower </w:t>
      </w:r>
      <w:r>
        <w:rPr>
          <w:rStyle w:val="ui-provider"/>
        </w:rPr>
        <w:t>tiers and evaluate how providing lifetime status affects the new Loyalty Program Tier Distributions.</w:t>
      </w:r>
      <w:r>
        <w:rPr>
          <w:rStyle w:val="ui-provider"/>
        </w:rPr>
        <w:t xml:space="preserve"> Additionally</w:t>
      </w:r>
      <w:r>
        <w:rPr>
          <w:rStyle w:val="ui-provider"/>
        </w:rPr>
        <w:t>,</w:t>
      </w:r>
      <w:r>
        <w:rPr>
          <w:rStyle w:val="ui-provider"/>
        </w:rPr>
        <w:t xml:space="preserve"> the </w:t>
      </w:r>
      <w:r>
        <w:rPr>
          <w:rStyle w:val="ui-provider"/>
        </w:rPr>
        <w:t xml:space="preserve">Deloitte </w:t>
      </w:r>
      <w:r>
        <w:rPr>
          <w:rStyle w:val="ui-provider"/>
        </w:rPr>
        <w:t>PDA team wants to explore what it means if we were to keep the existing tier percentages on a population of guests that excludes "Enrolled Members"</w:t>
      </w:r>
      <w:r>
        <w:rPr>
          <w:rStyle w:val="ui-provider"/>
        </w:rPr>
        <w:t xml:space="preserve">. </w:t>
      </w:r>
      <w:r w:rsidRPr="00D43C24">
        <w:rPr>
          <w:rStyle w:val="ui-provider"/>
          <w:i/>
          <w:iCs/>
        </w:rPr>
        <w:t>We will be providing an updated readout to Nancy, Andrea, and Mike next Thursday.</w:t>
      </w:r>
    </w:p>
    <w:p w14:paraId="189C7388" w14:textId="2B7BF0F0" w:rsidR="00496D62" w:rsidRDefault="00D43C24" w:rsidP="00496D62">
      <w:pPr>
        <w:pStyle w:val="ListParagraph"/>
        <w:numPr>
          <w:ilvl w:val="0"/>
          <w:numId w:val="1"/>
        </w:numPr>
        <w:rPr>
          <w:rStyle w:val="ui-provider"/>
        </w:rPr>
      </w:pPr>
      <w:r>
        <w:rPr>
          <w:rStyle w:val="ui-provider"/>
          <w:b/>
          <w:bCs/>
        </w:rPr>
        <w:t>Supply Chain:</w:t>
      </w:r>
      <w:r>
        <w:rPr>
          <w:rStyle w:val="ui-provider"/>
        </w:rPr>
        <w:t xml:space="preserve"> Team presented the updated Finance Tracking Tool and new commodity price tracking tools to Michael Figgis / Sean Tracey with favorable feedback. Next week the Finance Tracking Tool will be presented to Naftali. This week the team has implemented prorations into the Finance Tracking tool to smooth out </w:t>
      </w:r>
      <w:r w:rsidR="00496D62">
        <w:rPr>
          <w:rStyle w:val="ui-provider"/>
        </w:rPr>
        <w:t>demand &amp; costs across revenue months.</w:t>
      </w:r>
    </w:p>
    <w:p w14:paraId="53E959A8" w14:textId="55674DD0" w:rsidR="00D43C24" w:rsidRDefault="00496D62" w:rsidP="00D43C24">
      <w:r>
        <w:t>Concerns:</w:t>
      </w:r>
    </w:p>
    <w:p w14:paraId="4930F70E" w14:textId="54800F5C" w:rsidR="00496D62" w:rsidRDefault="00496D62" w:rsidP="00496D62">
      <w:pPr>
        <w:pStyle w:val="ListParagraph"/>
        <w:numPr>
          <w:ilvl w:val="0"/>
          <w:numId w:val="3"/>
        </w:numPr>
      </w:pPr>
      <w:r>
        <w:t>None</w:t>
      </w:r>
    </w:p>
    <w:p w14:paraId="469BB4B7" w14:textId="0ADAB68F" w:rsidR="00D43C24" w:rsidRDefault="00D43C24" w:rsidP="00D43C24">
      <w:r>
        <w:t xml:space="preserve">Excited: </w:t>
      </w:r>
    </w:p>
    <w:p w14:paraId="50B0BC8F" w14:textId="6E4C11E7" w:rsidR="00D43C24" w:rsidRDefault="00D43C24" w:rsidP="00D43C24">
      <w:pPr>
        <w:pStyle w:val="ListParagraph"/>
        <w:numPr>
          <w:ilvl w:val="0"/>
          <w:numId w:val="2"/>
        </w:numPr>
        <w:rPr>
          <w:rStyle w:val="ui-provider"/>
        </w:rPr>
      </w:pPr>
      <w:r w:rsidRPr="00D43C24">
        <w:rPr>
          <w:rStyle w:val="ui-provider"/>
          <w:b/>
          <w:bCs/>
        </w:rPr>
        <w:t>Contact Center:</w:t>
      </w:r>
      <w:r>
        <w:rPr>
          <w:rStyle w:val="ui-provider"/>
        </w:rPr>
        <w:t xml:space="preserve"> </w:t>
      </w:r>
      <w:r>
        <w:rPr>
          <w:rStyle w:val="ui-provider"/>
        </w:rPr>
        <w:t xml:space="preserve">Upgrading the </w:t>
      </w:r>
      <w:proofErr w:type="spellStart"/>
      <w:r>
        <w:rPr>
          <w:rStyle w:val="ui-provider"/>
        </w:rPr>
        <w:t>Liveperson</w:t>
      </w:r>
      <w:proofErr w:type="spellEnd"/>
      <w:r>
        <w:rPr>
          <w:rStyle w:val="ui-provider"/>
        </w:rPr>
        <w:t xml:space="preserve"> topic classification process to the Siren classifier.</w:t>
      </w:r>
      <w:r>
        <w:rPr>
          <w:rStyle w:val="ui-provider"/>
        </w:rPr>
        <w:t xml:space="preserve"> T</w:t>
      </w:r>
      <w:r>
        <w:rPr>
          <w:rStyle w:val="ui-provider"/>
        </w:rPr>
        <w:t xml:space="preserve">he current </w:t>
      </w:r>
      <w:proofErr w:type="spellStart"/>
      <w:r>
        <w:rPr>
          <w:rStyle w:val="ui-provider"/>
        </w:rPr>
        <w:t>Liveperson</w:t>
      </w:r>
      <w:proofErr w:type="spellEnd"/>
      <w:r>
        <w:rPr>
          <w:rStyle w:val="ui-provider"/>
        </w:rPr>
        <w:t xml:space="preserve"> classification approach </w:t>
      </w:r>
      <w:r>
        <w:rPr>
          <w:rStyle w:val="ui-provider"/>
        </w:rPr>
        <w:t xml:space="preserve">only creates topics based on </w:t>
      </w:r>
      <w:r>
        <w:rPr>
          <w:rStyle w:val="ui-provider"/>
        </w:rPr>
        <w:t>the initial conversation, rather than the entire conversation to gain</w:t>
      </w:r>
      <w:r w:rsidRPr="00D43C24">
        <w:rPr>
          <w:rStyle w:val="ui-provider"/>
        </w:rPr>
        <w:t xml:space="preserve"> a wholistic representation of topics discussed </w:t>
      </w:r>
      <w:r>
        <w:rPr>
          <w:rStyle w:val="ui-provider"/>
        </w:rPr>
        <w:t xml:space="preserve">during </w:t>
      </w:r>
      <w:proofErr w:type="spellStart"/>
      <w:r w:rsidRPr="00D43C24">
        <w:rPr>
          <w:rStyle w:val="ui-provider"/>
        </w:rPr>
        <w:t>Liveperson</w:t>
      </w:r>
      <w:proofErr w:type="spellEnd"/>
      <w:r w:rsidRPr="00D43C24">
        <w:rPr>
          <w:rStyle w:val="ui-provider"/>
        </w:rPr>
        <w:t xml:space="preserve"> chat interactions.</w:t>
      </w:r>
    </w:p>
    <w:p w14:paraId="1C1AE33D" w14:textId="19D16AA5" w:rsidR="00496D62" w:rsidRDefault="00496D62" w:rsidP="00D43C24">
      <w:pPr>
        <w:pStyle w:val="ListParagraph"/>
        <w:numPr>
          <w:ilvl w:val="0"/>
          <w:numId w:val="2"/>
        </w:numPr>
        <w:rPr>
          <w:rStyle w:val="ui-provider"/>
        </w:rPr>
      </w:pPr>
      <w:r w:rsidRPr="00496D62">
        <w:rPr>
          <w:rStyle w:val="ui-provider"/>
          <w:b/>
          <w:bCs/>
        </w:rPr>
        <w:t>E-</w:t>
      </w:r>
      <w:r w:rsidRPr="00496D62">
        <w:rPr>
          <w:b/>
          <w:bCs/>
        </w:rPr>
        <w:t xml:space="preserve">Commerce: </w:t>
      </w:r>
      <w:r w:rsidRPr="00496D62">
        <w:t>Team is working on</w:t>
      </w:r>
      <w:r>
        <w:rPr>
          <w:b/>
          <w:bCs/>
        </w:rPr>
        <w:t xml:space="preserve"> </w:t>
      </w:r>
      <w:r>
        <w:rPr>
          <w:rStyle w:val="ui-provider"/>
        </w:rPr>
        <w:t>integrating Epsilon Consumer Spend Data</w:t>
      </w:r>
      <w:r>
        <w:rPr>
          <w:rStyle w:val="ui-provider"/>
        </w:rPr>
        <w:t xml:space="preserve"> </w:t>
      </w:r>
      <w:r>
        <w:rPr>
          <w:rStyle w:val="ui-provider"/>
        </w:rPr>
        <w:t xml:space="preserve">to boost </w:t>
      </w:r>
      <w:r>
        <w:rPr>
          <w:rStyle w:val="ui-provider"/>
        </w:rPr>
        <w:t xml:space="preserve">the </w:t>
      </w:r>
      <w:r>
        <w:rPr>
          <w:rStyle w:val="ui-provider"/>
        </w:rPr>
        <w:t xml:space="preserve">model performance </w:t>
      </w:r>
      <w:r>
        <w:rPr>
          <w:rStyle w:val="ui-provider"/>
        </w:rPr>
        <w:t>for existing</w:t>
      </w:r>
      <w:r>
        <w:rPr>
          <w:rStyle w:val="ui-provider"/>
        </w:rPr>
        <w:t xml:space="preserve"> </w:t>
      </w:r>
      <w:r>
        <w:rPr>
          <w:rStyle w:val="ui-provider"/>
        </w:rPr>
        <w:t>booking propensity and spending forecasts</w:t>
      </w:r>
      <w:r>
        <w:rPr>
          <w:rStyle w:val="ui-provider"/>
        </w:rPr>
        <w:t xml:space="preserve"> models</w:t>
      </w:r>
      <w:r>
        <w:rPr>
          <w:rStyle w:val="ui-provider"/>
        </w:rPr>
        <w:t xml:space="preserve"> being used for E-Commerce targeting initiatives. Our targeting models already use </w:t>
      </w:r>
      <w:r>
        <w:rPr>
          <w:rStyle w:val="ui-provider"/>
        </w:rPr>
        <w:t>Epsilon Demographic data</w:t>
      </w:r>
      <w:r>
        <w:rPr>
          <w:rStyle w:val="ui-provider"/>
        </w:rPr>
        <w:t>, which are key features for targeting prospective guests to our brands.</w:t>
      </w:r>
    </w:p>
    <w:p w14:paraId="7DC86C2C" w14:textId="19BA6B70" w:rsidR="00496D62" w:rsidRPr="00496D62" w:rsidRDefault="00496D62" w:rsidP="00D43C24">
      <w:pPr>
        <w:pStyle w:val="ListParagraph"/>
        <w:numPr>
          <w:ilvl w:val="0"/>
          <w:numId w:val="2"/>
        </w:numPr>
      </w:pPr>
      <w:r>
        <w:rPr>
          <w:rStyle w:val="ui-provider"/>
          <w:b/>
          <w:bCs/>
        </w:rPr>
        <w:t>Marine Operations:</w:t>
      </w:r>
      <w:r>
        <w:t xml:space="preserve"> Team presented a favorable proposal on Fuel Forecasting enhancements to Marine Operations Finance (</w:t>
      </w:r>
      <w:r w:rsidRPr="00496D62">
        <w:t>Monica Garcia-Vinals</w:t>
      </w:r>
      <w:r>
        <w:t>) and Revenue Planning (</w:t>
      </w:r>
      <w:proofErr w:type="spellStart"/>
      <w:r>
        <w:t>Rafa</w:t>
      </w:r>
      <w:proofErr w:type="spellEnd"/>
      <w:r>
        <w:t xml:space="preserve"> Toro). Enhancements to the current Fuel Forecasting approach</w:t>
      </w:r>
      <w:r w:rsidR="00D77B49">
        <w:t xml:space="preserve"> will enable much more accurate forecasts by including </w:t>
      </w:r>
      <w:r>
        <w:t xml:space="preserve">seasonal </w:t>
      </w:r>
      <w:r w:rsidR="00D77B49">
        <w:t xml:space="preserve">fluctuations in temperature/environment, the forecasted fuel mix, or forecasted speed during a voyage leg based on ship condition. </w:t>
      </w:r>
      <w:r w:rsidR="00D77B49" w:rsidRPr="00D77B49">
        <w:rPr>
          <w:i/>
          <w:iCs/>
        </w:rPr>
        <w:t>Next steps are to evaluate the revenue</w:t>
      </w:r>
      <w:r w:rsidR="00D77B49">
        <w:rPr>
          <w:i/>
          <w:iCs/>
        </w:rPr>
        <w:t>/cost-reduction</w:t>
      </w:r>
      <w:r w:rsidR="00D77B49" w:rsidRPr="00D77B49">
        <w:rPr>
          <w:i/>
          <w:iCs/>
        </w:rPr>
        <w:t xml:space="preserve"> benefits of the work and submit a CAR later this year.</w:t>
      </w:r>
      <w:r w:rsidR="00D77B49">
        <w:t xml:space="preserve"> </w:t>
      </w:r>
    </w:p>
    <w:p w14:paraId="088C57D0" w14:textId="0DCCAEF2" w:rsidR="00D77B49" w:rsidRDefault="00496D62" w:rsidP="00D43C24">
      <w:pPr>
        <w:pStyle w:val="ListParagraph"/>
        <w:numPr>
          <w:ilvl w:val="0"/>
          <w:numId w:val="2"/>
        </w:numPr>
        <w:rPr>
          <w:rStyle w:val="ui-provider"/>
        </w:rPr>
      </w:pPr>
      <w:r>
        <w:rPr>
          <w:b/>
          <w:bCs/>
        </w:rPr>
        <w:t xml:space="preserve">Loyalty: </w:t>
      </w:r>
      <w:r>
        <w:rPr>
          <w:rStyle w:val="ui-provider"/>
        </w:rPr>
        <w:t xml:space="preserve">At the start of December, VTG was informed that RCG was performing analytics around specific agents who frequently executed payments over the phone. Since </w:t>
      </w:r>
      <w:r>
        <w:rPr>
          <w:rStyle w:val="ui-provider"/>
        </w:rPr>
        <w:t>then,</w:t>
      </w:r>
      <w:r>
        <w:rPr>
          <w:rStyle w:val="ui-provider"/>
        </w:rPr>
        <w:t xml:space="preserve"> the </w:t>
      </w:r>
      <w:r>
        <w:rPr>
          <w:rStyle w:val="ui-provider"/>
        </w:rPr>
        <w:t xml:space="preserve">average talk time and </w:t>
      </w:r>
      <w:r>
        <w:rPr>
          <w:rStyle w:val="ui-provider"/>
        </w:rPr>
        <w:t xml:space="preserve">proportion of Payments </w:t>
      </w:r>
      <w:r>
        <w:rPr>
          <w:rStyle w:val="ui-provider"/>
        </w:rPr>
        <w:t>remains</w:t>
      </w:r>
      <w:r>
        <w:rPr>
          <w:rStyle w:val="ui-provider"/>
        </w:rPr>
        <w:t xml:space="preserve"> unchanged. However, it seems that there has been a significant decrease in the number of calls with Names being identified. The current hypothesis is that Agents are still calling - but are less likely to introduce themselves </w:t>
      </w:r>
      <w:proofErr w:type="gramStart"/>
      <w:r>
        <w:rPr>
          <w:rStyle w:val="ui-provider"/>
        </w:rPr>
        <w:t>as a way to</w:t>
      </w:r>
      <w:proofErr w:type="gramEnd"/>
      <w:r>
        <w:rPr>
          <w:rStyle w:val="ui-provider"/>
        </w:rPr>
        <w:t xml:space="preserve"> occlude who is calling. </w:t>
      </w:r>
      <w:r>
        <w:rPr>
          <w:rStyle w:val="ui-provider"/>
        </w:rPr>
        <w:t xml:space="preserve">The Contact Center </w:t>
      </w:r>
      <w:r>
        <w:rPr>
          <w:rStyle w:val="ui-provider"/>
        </w:rPr>
        <w:t>is actively investigating this hypothesis and preliminary results confirm this trend. </w:t>
      </w:r>
    </w:p>
    <w:p w14:paraId="00601FFB" w14:textId="77777777" w:rsidR="00D77B49" w:rsidRDefault="00D77B49">
      <w:pPr>
        <w:rPr>
          <w:rStyle w:val="ui-provider"/>
        </w:rPr>
      </w:pPr>
      <w:r>
        <w:rPr>
          <w:rStyle w:val="ui-provider"/>
        </w:rPr>
        <w:br w:type="page"/>
      </w:r>
    </w:p>
    <w:p w14:paraId="08F0828A" w14:textId="18471092" w:rsidR="00496D62" w:rsidRDefault="00D77B49" w:rsidP="00D77B49">
      <w:r>
        <w:lastRenderedPageBreak/>
        <w:t>Last Week</w:t>
      </w:r>
    </w:p>
    <w:p w14:paraId="198C0BE2" w14:textId="77777777" w:rsidR="00D77B49" w:rsidRDefault="00D77B49" w:rsidP="00D77B49">
      <w:pPr>
        <w:pStyle w:val="paragraph"/>
        <w:spacing w:before="0" w:beforeAutospacing="0" w:after="0" w:afterAutospacing="0"/>
        <w:ind w:left="-990" w:right="-540" w:firstLine="990"/>
        <w:textAlignment w:val="baseline"/>
        <w:rPr>
          <w:rFonts w:ascii="Segoe UI" w:hAnsi="Segoe UI" w:cs="Segoe UI"/>
          <w:sz w:val="18"/>
          <w:szCs w:val="18"/>
        </w:rPr>
      </w:pPr>
      <w:r>
        <w:rPr>
          <w:rStyle w:val="normaltextrun"/>
          <w:rFonts w:ascii="Calibri" w:hAnsi="Calibri" w:cs="Calibri"/>
          <w:b/>
          <w:bCs/>
          <w:sz w:val="22"/>
          <w:szCs w:val="22"/>
          <w:u w:val="single"/>
        </w:rPr>
        <w:t>DAVID</w:t>
      </w:r>
      <w:r>
        <w:rPr>
          <w:rStyle w:val="normaltextrun"/>
          <w:rFonts w:ascii="Calibri" w:hAnsi="Calibri" w:cs="Calibri"/>
          <w:sz w:val="22"/>
          <w:szCs w:val="22"/>
        </w:rPr>
        <w:t>  </w:t>
      </w:r>
      <w:r>
        <w:rPr>
          <w:rStyle w:val="eop"/>
          <w:rFonts w:ascii="Calibri" w:hAnsi="Calibri" w:cs="Calibri"/>
          <w:sz w:val="22"/>
          <w:szCs w:val="22"/>
        </w:rPr>
        <w:t> </w:t>
      </w:r>
    </w:p>
    <w:p w14:paraId="2CB0A3D6" w14:textId="77777777" w:rsidR="00D77B49" w:rsidRDefault="00D77B49" w:rsidP="00D77B4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 xml:space="preserve">Proud: </w:t>
      </w:r>
      <w:r>
        <w:rPr>
          <w:rStyle w:val="eop"/>
          <w:rFonts w:ascii="Calibri" w:hAnsi="Calibri" w:cs="Calibri"/>
          <w:sz w:val="22"/>
          <w:szCs w:val="22"/>
        </w:rPr>
        <w:t> </w:t>
      </w:r>
    </w:p>
    <w:p w14:paraId="0F8A0E34" w14:textId="77777777" w:rsidR="00D77B49" w:rsidRDefault="00D77B49" w:rsidP="00D77B49">
      <w:pPr>
        <w:pStyle w:val="paragraph"/>
        <w:numPr>
          <w:ilvl w:val="0"/>
          <w:numId w:val="4"/>
        </w:numPr>
        <w:spacing w:before="0" w:beforeAutospacing="0" w:after="0" w:afterAutospacing="0"/>
        <w:ind w:firstLine="0"/>
        <w:textAlignment w:val="baseline"/>
        <w:rPr>
          <w:rFonts w:ascii="Calibri" w:hAnsi="Calibri" w:cs="Calibri"/>
          <w:sz w:val="22"/>
          <w:szCs w:val="22"/>
        </w:rPr>
      </w:pPr>
      <w:r>
        <w:rPr>
          <w:rStyle w:val="normaltextrun"/>
          <w:rFonts w:ascii="Calibri" w:hAnsi="Calibri" w:cs="Calibri"/>
          <w:b/>
          <w:bCs/>
          <w:sz w:val="22"/>
          <w:szCs w:val="22"/>
        </w:rPr>
        <w:t>Win-on-Waste:</w:t>
      </w:r>
      <w:r>
        <w:rPr>
          <w:rStyle w:val="normaltextrun"/>
          <w:rFonts w:ascii="Calibri" w:hAnsi="Calibri" w:cs="Calibri"/>
          <w:sz w:val="22"/>
          <w:szCs w:val="22"/>
        </w:rPr>
        <w:t xml:space="preserve"> This week the WoW team favorably reported on a two-week </w:t>
      </w:r>
      <w:proofErr w:type="spellStart"/>
      <w:r>
        <w:rPr>
          <w:rStyle w:val="normaltextrun"/>
          <w:rFonts w:ascii="Calibri" w:hAnsi="Calibri" w:cs="Calibri"/>
          <w:sz w:val="22"/>
          <w:szCs w:val="22"/>
        </w:rPr>
        <w:t>backest</w:t>
      </w:r>
      <w:proofErr w:type="spellEnd"/>
      <w:r>
        <w:rPr>
          <w:rStyle w:val="normaltextrun"/>
          <w:rFonts w:ascii="Calibri" w:hAnsi="Calibri" w:cs="Calibri"/>
          <w:sz w:val="22"/>
          <w:szCs w:val="22"/>
        </w:rPr>
        <w:t xml:space="preserve"> test of AI Demand Forecast for select Specialty Dining Venues on one ship (Freedom of the Seas, 2/9/24 - 2/23/24). The team's AI demand forecasts closely aligned with the </w:t>
      </w:r>
      <w:proofErr w:type="spellStart"/>
      <w:r>
        <w:rPr>
          <w:rStyle w:val="normaltextrun"/>
          <w:rFonts w:ascii="Calibri" w:hAnsi="Calibri" w:cs="Calibri"/>
          <w:sz w:val="22"/>
          <w:szCs w:val="22"/>
        </w:rPr>
        <w:t>PoS</w:t>
      </w:r>
      <w:proofErr w:type="spellEnd"/>
      <w:r>
        <w:rPr>
          <w:rStyle w:val="normaltextrun"/>
          <w:rFonts w:ascii="Calibri" w:hAnsi="Calibri" w:cs="Calibri"/>
          <w:sz w:val="22"/>
          <w:szCs w:val="22"/>
        </w:rPr>
        <w:t xml:space="preserve"> actuals and, if followed, would have saved the company $11k. If these savings can be replicated across the entire fleet and maintained across the entire year, the projected annual savings from the demand forecast would be $6.9M annually for RCI. Next steps are to productionize the model and make them available to shipboard chefs.</w:t>
      </w:r>
      <w:r>
        <w:rPr>
          <w:rStyle w:val="eop"/>
          <w:rFonts w:ascii="Calibri" w:hAnsi="Calibri" w:cs="Calibri"/>
          <w:sz w:val="22"/>
          <w:szCs w:val="22"/>
        </w:rPr>
        <w:t> </w:t>
      </w:r>
    </w:p>
    <w:p w14:paraId="3E4FA2FA" w14:textId="77777777" w:rsidR="00D77B49" w:rsidRDefault="00D77B49" w:rsidP="00D77B49">
      <w:pPr>
        <w:pStyle w:val="paragraph"/>
        <w:numPr>
          <w:ilvl w:val="0"/>
          <w:numId w:val="4"/>
        </w:numPr>
        <w:spacing w:before="0" w:beforeAutospacing="0" w:after="0" w:afterAutospacing="0"/>
        <w:ind w:firstLine="0"/>
        <w:textAlignment w:val="baseline"/>
        <w:rPr>
          <w:rFonts w:ascii="Calibri" w:hAnsi="Calibri" w:cs="Calibri"/>
          <w:sz w:val="22"/>
          <w:szCs w:val="22"/>
        </w:rPr>
      </w:pPr>
      <w:r>
        <w:rPr>
          <w:rStyle w:val="normaltextrun"/>
          <w:rFonts w:ascii="Calibri" w:hAnsi="Calibri" w:cs="Calibri"/>
          <w:b/>
          <w:bCs/>
          <w:sz w:val="22"/>
          <w:szCs w:val="22"/>
        </w:rPr>
        <w:t>Loyalty:</w:t>
      </w:r>
      <w:r>
        <w:rPr>
          <w:rStyle w:val="normaltextrun"/>
          <w:rFonts w:ascii="Calibri" w:hAnsi="Calibri" w:cs="Calibri"/>
          <w:sz w:val="22"/>
          <w:szCs w:val="22"/>
        </w:rPr>
        <w:t xml:space="preserve"> The joint DS/E-Commerce/Deloitte team presented a major progress update on the Phase 1 MVP Loyalty Simulator to Nancy and Andrea with positive feedback. The team provided a perspective on (a) what thresholds (and corresponding member distribution) will effectively incentivize return, frequency, and overall member spend for a 5-tier program and (b) how adjusting the lower bound for Tier 1 (creating an “Enrolled Member” category) affects overall tier distributions. Next steps will be to assess profitability of the program based on projected Tier Benefits.</w:t>
      </w:r>
      <w:r>
        <w:rPr>
          <w:rStyle w:val="eop"/>
          <w:rFonts w:ascii="Calibri" w:hAnsi="Calibri" w:cs="Calibri"/>
          <w:sz w:val="22"/>
          <w:szCs w:val="22"/>
        </w:rPr>
        <w:t> </w:t>
      </w:r>
    </w:p>
    <w:p w14:paraId="102C329B" w14:textId="77777777" w:rsidR="00D77B49" w:rsidRDefault="00D77B49" w:rsidP="00D77B49">
      <w:pPr>
        <w:pStyle w:val="paragraph"/>
        <w:numPr>
          <w:ilvl w:val="0"/>
          <w:numId w:val="4"/>
        </w:numPr>
        <w:spacing w:before="0" w:beforeAutospacing="0" w:after="0" w:afterAutospacing="0"/>
        <w:ind w:firstLine="0"/>
        <w:textAlignment w:val="baseline"/>
        <w:rPr>
          <w:rFonts w:ascii="Calibri" w:hAnsi="Calibri" w:cs="Calibri"/>
          <w:sz w:val="22"/>
          <w:szCs w:val="22"/>
        </w:rPr>
      </w:pPr>
      <w:r>
        <w:rPr>
          <w:rStyle w:val="normaltextrun"/>
          <w:rFonts w:ascii="Calibri" w:hAnsi="Calibri" w:cs="Calibri"/>
          <w:b/>
          <w:bCs/>
          <w:sz w:val="22"/>
          <w:szCs w:val="22"/>
        </w:rPr>
        <w:t>Supply Chain:</w:t>
      </w:r>
      <w:r>
        <w:rPr>
          <w:rStyle w:val="normaltextrun"/>
          <w:rFonts w:ascii="Calibri" w:hAnsi="Calibri" w:cs="Calibri"/>
          <w:sz w:val="22"/>
          <w:szCs w:val="22"/>
        </w:rPr>
        <w:t xml:space="preserve"> In support of the Finance Tracking Tool, the team has enhanced the business facing </w:t>
      </w:r>
      <w:proofErr w:type="spellStart"/>
      <w:r>
        <w:rPr>
          <w:rStyle w:val="normaltextrun"/>
          <w:rFonts w:ascii="Calibri" w:hAnsi="Calibri" w:cs="Calibri"/>
          <w:sz w:val="22"/>
          <w:szCs w:val="22"/>
        </w:rPr>
        <w:t>DataBricks</w:t>
      </w:r>
      <w:proofErr w:type="spellEnd"/>
      <w:r>
        <w:rPr>
          <w:rStyle w:val="normaltextrun"/>
          <w:rFonts w:ascii="Calibri" w:hAnsi="Calibri" w:cs="Calibri"/>
          <w:sz w:val="22"/>
          <w:szCs w:val="22"/>
        </w:rPr>
        <w:t xml:space="preserve"> dashboard, providing reporting on how Revenue Reporting Metrics compare to the same month last year and in time-series.</w:t>
      </w:r>
      <w:r>
        <w:rPr>
          <w:rStyle w:val="eop"/>
          <w:rFonts w:ascii="Calibri" w:hAnsi="Calibri" w:cs="Calibri"/>
          <w:sz w:val="22"/>
          <w:szCs w:val="22"/>
        </w:rPr>
        <w:t> </w:t>
      </w:r>
    </w:p>
    <w:p w14:paraId="0A9E195D" w14:textId="77777777" w:rsidR="00D77B49" w:rsidRDefault="00D77B49" w:rsidP="00D77B49">
      <w:pPr>
        <w:pStyle w:val="paragraph"/>
        <w:numPr>
          <w:ilvl w:val="0"/>
          <w:numId w:val="4"/>
        </w:numPr>
        <w:spacing w:before="0" w:beforeAutospacing="0" w:after="0" w:afterAutospacing="0"/>
        <w:ind w:firstLine="0"/>
        <w:textAlignment w:val="baseline"/>
        <w:rPr>
          <w:rFonts w:ascii="Calibri" w:hAnsi="Calibri" w:cs="Calibri"/>
          <w:sz w:val="22"/>
          <w:szCs w:val="22"/>
        </w:rPr>
      </w:pPr>
      <w:r>
        <w:rPr>
          <w:rStyle w:val="normaltextrun"/>
          <w:rFonts w:ascii="Calibri" w:hAnsi="Calibri" w:cs="Calibri"/>
          <w:b/>
          <w:bCs/>
          <w:sz w:val="22"/>
          <w:szCs w:val="22"/>
        </w:rPr>
        <w:t xml:space="preserve">Revenue Management: </w:t>
      </w:r>
      <w:r>
        <w:rPr>
          <w:rStyle w:val="normaltextrun"/>
          <w:rFonts w:ascii="Calibri" w:hAnsi="Calibri" w:cs="Calibri"/>
          <w:sz w:val="22"/>
          <w:szCs w:val="22"/>
        </w:rPr>
        <w:t>New pricing elasticity model enhancements for CEL are displaying a substantial increase in forecasting accuracy (+25%). The revenue impact is TBD, and we will be presenting findings today to CEL RM leadership.</w:t>
      </w:r>
      <w:r>
        <w:rPr>
          <w:rStyle w:val="eop"/>
          <w:rFonts w:ascii="Calibri" w:hAnsi="Calibri" w:cs="Calibri"/>
          <w:sz w:val="22"/>
          <w:szCs w:val="22"/>
        </w:rPr>
        <w:t> </w:t>
      </w:r>
    </w:p>
    <w:p w14:paraId="6E3FA8F9" w14:textId="77777777" w:rsidR="00D77B49" w:rsidRDefault="00D77B49" w:rsidP="00D77B4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1B424E66" w14:textId="77777777" w:rsidR="00D77B49" w:rsidRDefault="00D77B49" w:rsidP="00D77B4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Concerns:</w:t>
      </w:r>
      <w:r>
        <w:rPr>
          <w:rStyle w:val="eop"/>
          <w:rFonts w:ascii="Calibri" w:hAnsi="Calibri" w:cs="Calibri"/>
          <w:sz w:val="22"/>
          <w:szCs w:val="22"/>
        </w:rPr>
        <w:t> </w:t>
      </w:r>
    </w:p>
    <w:p w14:paraId="59C64EEF" w14:textId="77777777" w:rsidR="00D77B49" w:rsidRDefault="00D77B49" w:rsidP="00D77B4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None</w:t>
      </w:r>
      <w:r>
        <w:rPr>
          <w:rStyle w:val="eop"/>
          <w:rFonts w:ascii="Calibri" w:hAnsi="Calibri" w:cs="Calibri"/>
          <w:sz w:val="22"/>
          <w:szCs w:val="22"/>
        </w:rPr>
        <w:t> </w:t>
      </w:r>
    </w:p>
    <w:p w14:paraId="27CF034A" w14:textId="77777777" w:rsidR="00D77B49" w:rsidRDefault="00D77B49" w:rsidP="00D77B4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4BBDE6E7" w14:textId="77777777" w:rsidR="00D77B49" w:rsidRDefault="00D77B49" w:rsidP="00D77B4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Excited:</w:t>
      </w:r>
      <w:r>
        <w:rPr>
          <w:rStyle w:val="eop"/>
          <w:rFonts w:ascii="Calibri" w:hAnsi="Calibri" w:cs="Calibri"/>
          <w:sz w:val="22"/>
          <w:szCs w:val="22"/>
        </w:rPr>
        <w:t> </w:t>
      </w:r>
    </w:p>
    <w:p w14:paraId="4F500E86" w14:textId="77777777" w:rsidR="00D77B49" w:rsidRDefault="00D77B49" w:rsidP="00D77B49">
      <w:pPr>
        <w:pStyle w:val="paragraph"/>
        <w:numPr>
          <w:ilvl w:val="0"/>
          <w:numId w:val="5"/>
        </w:numPr>
        <w:spacing w:before="0" w:beforeAutospacing="0" w:after="0" w:afterAutospacing="0"/>
        <w:ind w:firstLine="0"/>
        <w:textAlignment w:val="baseline"/>
        <w:rPr>
          <w:rFonts w:ascii="Calibri" w:hAnsi="Calibri" w:cs="Calibri"/>
          <w:sz w:val="22"/>
          <w:szCs w:val="22"/>
        </w:rPr>
      </w:pPr>
      <w:r>
        <w:rPr>
          <w:rStyle w:val="normaltextrun"/>
          <w:rFonts w:ascii="Calibri" w:hAnsi="Calibri" w:cs="Calibri"/>
          <w:b/>
          <w:bCs/>
          <w:sz w:val="22"/>
          <w:szCs w:val="22"/>
        </w:rPr>
        <w:t>Revenue Management:</w:t>
      </w:r>
      <w:r>
        <w:rPr>
          <w:rStyle w:val="normaltextrun"/>
          <w:rFonts w:ascii="Calibri" w:hAnsi="Calibri" w:cs="Calibri"/>
          <w:sz w:val="22"/>
          <w:szCs w:val="22"/>
        </w:rPr>
        <w:t xml:space="preserve"> The team is excited to present the 2024 RCI &amp; CEL RMA CARs to the Capital Committee next week and has been preparing this week. </w:t>
      </w:r>
      <w:r>
        <w:rPr>
          <w:rStyle w:val="eop"/>
          <w:rFonts w:ascii="Calibri" w:hAnsi="Calibri" w:cs="Calibri"/>
          <w:sz w:val="22"/>
          <w:szCs w:val="22"/>
        </w:rPr>
        <w:t> </w:t>
      </w:r>
    </w:p>
    <w:p w14:paraId="4D4A0604" w14:textId="77777777" w:rsidR="00D77B49" w:rsidRDefault="00D77B49" w:rsidP="00D77B49">
      <w:pPr>
        <w:pStyle w:val="paragraph"/>
        <w:numPr>
          <w:ilvl w:val="0"/>
          <w:numId w:val="5"/>
        </w:numPr>
        <w:spacing w:before="0" w:beforeAutospacing="0" w:after="0" w:afterAutospacing="0"/>
        <w:ind w:firstLine="0"/>
        <w:textAlignment w:val="baseline"/>
        <w:rPr>
          <w:rFonts w:ascii="Calibri" w:hAnsi="Calibri" w:cs="Calibri"/>
          <w:sz w:val="22"/>
          <w:szCs w:val="22"/>
        </w:rPr>
      </w:pPr>
      <w:r>
        <w:rPr>
          <w:rStyle w:val="normaltextrun"/>
          <w:rFonts w:ascii="Calibri" w:hAnsi="Calibri" w:cs="Calibri"/>
          <w:b/>
          <w:bCs/>
          <w:sz w:val="22"/>
          <w:szCs w:val="22"/>
        </w:rPr>
        <w:t xml:space="preserve">Marine Operations: </w:t>
      </w:r>
      <w:r>
        <w:rPr>
          <w:rStyle w:val="normaltextrun"/>
          <w:rFonts w:ascii="Calibri" w:hAnsi="Calibri" w:cs="Calibri"/>
          <w:sz w:val="22"/>
          <w:szCs w:val="22"/>
        </w:rPr>
        <w:t xml:space="preserve">Next week, the Marine Operations &amp; the Data AI teams will be discussing a new 2024 CAR that would improve fuel forecasting. Better fuel forecasts could substantially help our Deployment &amp; Marine teams reduce the &gt;$1B fuel costs incurred annually by RCG. The team also collaborated on the vision for the MIAP Web App with Andrew Borja's GMO team. The outcome was a decision to fully integrate the client (shipboard engineers) facing aspects of the tool in the existing GMO app, while the analytics teams continue development on the webapp for internal savings hunting actions. </w:t>
      </w:r>
      <w:r>
        <w:rPr>
          <w:rStyle w:val="eop"/>
          <w:rFonts w:ascii="Calibri" w:hAnsi="Calibri" w:cs="Calibri"/>
          <w:sz w:val="22"/>
          <w:szCs w:val="22"/>
        </w:rPr>
        <w:t> </w:t>
      </w:r>
    </w:p>
    <w:p w14:paraId="2BD5B167" w14:textId="77777777" w:rsidR="00D77B49" w:rsidRDefault="00D77B49" w:rsidP="00D77B49">
      <w:pPr>
        <w:pStyle w:val="paragraph"/>
        <w:numPr>
          <w:ilvl w:val="0"/>
          <w:numId w:val="5"/>
        </w:numPr>
        <w:spacing w:before="0" w:beforeAutospacing="0" w:after="0" w:afterAutospacing="0"/>
        <w:ind w:firstLine="0"/>
        <w:textAlignment w:val="baseline"/>
        <w:rPr>
          <w:rFonts w:ascii="Calibri" w:hAnsi="Calibri" w:cs="Calibri"/>
          <w:sz w:val="22"/>
          <w:szCs w:val="22"/>
        </w:rPr>
      </w:pPr>
      <w:r>
        <w:rPr>
          <w:rStyle w:val="normaltextrun"/>
          <w:rFonts w:ascii="Calibri" w:hAnsi="Calibri" w:cs="Calibri"/>
          <w:b/>
          <w:bCs/>
          <w:sz w:val="22"/>
          <w:szCs w:val="22"/>
        </w:rPr>
        <w:t>Supply Chain:</w:t>
      </w:r>
      <w:r>
        <w:rPr>
          <w:rStyle w:val="normaltextrun"/>
          <w:rFonts w:ascii="Calibri" w:hAnsi="Calibri" w:cs="Calibri"/>
          <w:sz w:val="22"/>
          <w:szCs w:val="22"/>
        </w:rPr>
        <w:t xml:space="preserve"> The team identified the best approach for accessing and updating historical pricing and pricing forecasts for the most highly consumed F&amp;B products. Work completed involved creating a table using a free trial of the best available commodities API with daily prices on 24 F&amp;B commodities going back to 2016. The team will be presenting these findings to Michael Figgis &amp; Sean Tracey next week.</w:t>
      </w:r>
      <w:r>
        <w:rPr>
          <w:rStyle w:val="eop"/>
          <w:rFonts w:ascii="Calibri" w:hAnsi="Calibri" w:cs="Calibri"/>
          <w:sz w:val="22"/>
          <w:szCs w:val="22"/>
        </w:rPr>
        <w:t> </w:t>
      </w:r>
    </w:p>
    <w:p w14:paraId="4003901D" w14:textId="77777777" w:rsidR="00D77B49" w:rsidRDefault="00D77B49" w:rsidP="00D77B4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13405FB8" w14:textId="77777777" w:rsidR="00D77B49" w:rsidRDefault="00D77B49" w:rsidP="00D77B49"/>
    <w:sectPr w:rsidR="00D77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40C15"/>
    <w:multiLevelType w:val="hybridMultilevel"/>
    <w:tmpl w:val="46A22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6313AD"/>
    <w:multiLevelType w:val="multilevel"/>
    <w:tmpl w:val="1F3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E4395E"/>
    <w:multiLevelType w:val="hybridMultilevel"/>
    <w:tmpl w:val="F4A6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AA2057"/>
    <w:multiLevelType w:val="hybridMultilevel"/>
    <w:tmpl w:val="B9269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B57193"/>
    <w:multiLevelType w:val="multilevel"/>
    <w:tmpl w:val="A64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0541393">
    <w:abstractNumId w:val="2"/>
  </w:num>
  <w:num w:numId="2" w16cid:durableId="821508126">
    <w:abstractNumId w:val="0"/>
  </w:num>
  <w:num w:numId="3" w16cid:durableId="1679651746">
    <w:abstractNumId w:val="3"/>
  </w:num>
  <w:num w:numId="4" w16cid:durableId="658116604">
    <w:abstractNumId w:val="1"/>
  </w:num>
  <w:num w:numId="5" w16cid:durableId="10537757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C24"/>
    <w:rsid w:val="00163CC7"/>
    <w:rsid w:val="00496D62"/>
    <w:rsid w:val="005543ED"/>
    <w:rsid w:val="00CC4355"/>
    <w:rsid w:val="00D43C24"/>
    <w:rsid w:val="00D77B49"/>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C7FF"/>
  <w15:chartTrackingRefBased/>
  <w15:docId w15:val="{67BD764F-1659-4497-9D74-6C0AC9610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3C24"/>
    <w:pPr>
      <w:ind w:left="720"/>
      <w:contextualSpacing/>
    </w:pPr>
  </w:style>
  <w:style w:type="character" w:customStyle="1" w:styleId="ui-provider">
    <w:name w:val="ui-provider"/>
    <w:basedOn w:val="DefaultParagraphFont"/>
    <w:rsid w:val="00D43C24"/>
  </w:style>
  <w:style w:type="paragraph" w:customStyle="1" w:styleId="paragraph">
    <w:name w:val="paragraph"/>
    <w:basedOn w:val="Normal"/>
    <w:rsid w:val="00D77B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D77B49"/>
  </w:style>
  <w:style w:type="character" w:customStyle="1" w:styleId="eop">
    <w:name w:val="eop"/>
    <w:basedOn w:val="DefaultParagraphFont"/>
    <w:rsid w:val="00D77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900688">
      <w:bodyDiv w:val="1"/>
      <w:marLeft w:val="0"/>
      <w:marRight w:val="0"/>
      <w:marTop w:val="0"/>
      <w:marBottom w:val="0"/>
      <w:divBdr>
        <w:top w:val="none" w:sz="0" w:space="0" w:color="auto"/>
        <w:left w:val="none" w:sz="0" w:space="0" w:color="auto"/>
        <w:bottom w:val="none" w:sz="0" w:space="0" w:color="auto"/>
        <w:right w:val="none" w:sz="0" w:space="0" w:color="auto"/>
      </w:divBdr>
      <w:divsChild>
        <w:div w:id="212544564">
          <w:marLeft w:val="0"/>
          <w:marRight w:val="0"/>
          <w:marTop w:val="0"/>
          <w:marBottom w:val="0"/>
          <w:divBdr>
            <w:top w:val="none" w:sz="0" w:space="0" w:color="auto"/>
            <w:left w:val="none" w:sz="0" w:space="0" w:color="auto"/>
            <w:bottom w:val="none" w:sz="0" w:space="0" w:color="auto"/>
            <w:right w:val="none" w:sz="0" w:space="0" w:color="auto"/>
          </w:divBdr>
        </w:div>
        <w:div w:id="1671445814">
          <w:marLeft w:val="0"/>
          <w:marRight w:val="0"/>
          <w:marTop w:val="0"/>
          <w:marBottom w:val="0"/>
          <w:divBdr>
            <w:top w:val="none" w:sz="0" w:space="0" w:color="auto"/>
            <w:left w:val="none" w:sz="0" w:space="0" w:color="auto"/>
            <w:bottom w:val="none" w:sz="0" w:space="0" w:color="auto"/>
            <w:right w:val="none" w:sz="0" w:space="0" w:color="auto"/>
          </w:divBdr>
        </w:div>
        <w:div w:id="1867988290">
          <w:marLeft w:val="0"/>
          <w:marRight w:val="0"/>
          <w:marTop w:val="0"/>
          <w:marBottom w:val="0"/>
          <w:divBdr>
            <w:top w:val="none" w:sz="0" w:space="0" w:color="auto"/>
            <w:left w:val="none" w:sz="0" w:space="0" w:color="auto"/>
            <w:bottom w:val="none" w:sz="0" w:space="0" w:color="auto"/>
            <w:right w:val="none" w:sz="0" w:space="0" w:color="auto"/>
          </w:divBdr>
        </w:div>
        <w:div w:id="593123797">
          <w:marLeft w:val="0"/>
          <w:marRight w:val="0"/>
          <w:marTop w:val="0"/>
          <w:marBottom w:val="0"/>
          <w:divBdr>
            <w:top w:val="none" w:sz="0" w:space="0" w:color="auto"/>
            <w:left w:val="none" w:sz="0" w:space="0" w:color="auto"/>
            <w:bottom w:val="none" w:sz="0" w:space="0" w:color="auto"/>
            <w:right w:val="none" w:sz="0" w:space="0" w:color="auto"/>
          </w:divBdr>
        </w:div>
        <w:div w:id="1457018612">
          <w:marLeft w:val="0"/>
          <w:marRight w:val="0"/>
          <w:marTop w:val="0"/>
          <w:marBottom w:val="0"/>
          <w:divBdr>
            <w:top w:val="none" w:sz="0" w:space="0" w:color="auto"/>
            <w:left w:val="none" w:sz="0" w:space="0" w:color="auto"/>
            <w:bottom w:val="none" w:sz="0" w:space="0" w:color="auto"/>
            <w:right w:val="none" w:sz="0" w:space="0" w:color="auto"/>
          </w:divBdr>
        </w:div>
        <w:div w:id="1784154962">
          <w:marLeft w:val="0"/>
          <w:marRight w:val="0"/>
          <w:marTop w:val="0"/>
          <w:marBottom w:val="0"/>
          <w:divBdr>
            <w:top w:val="none" w:sz="0" w:space="0" w:color="auto"/>
            <w:left w:val="none" w:sz="0" w:space="0" w:color="auto"/>
            <w:bottom w:val="none" w:sz="0" w:space="0" w:color="auto"/>
            <w:right w:val="none" w:sz="0" w:space="0" w:color="auto"/>
          </w:divBdr>
        </w:div>
        <w:div w:id="1558316988">
          <w:marLeft w:val="0"/>
          <w:marRight w:val="0"/>
          <w:marTop w:val="0"/>
          <w:marBottom w:val="0"/>
          <w:divBdr>
            <w:top w:val="none" w:sz="0" w:space="0" w:color="auto"/>
            <w:left w:val="none" w:sz="0" w:space="0" w:color="auto"/>
            <w:bottom w:val="none" w:sz="0" w:space="0" w:color="auto"/>
            <w:right w:val="none" w:sz="0" w:space="0" w:color="auto"/>
          </w:divBdr>
        </w:div>
        <w:div w:id="1416704230">
          <w:marLeft w:val="0"/>
          <w:marRight w:val="0"/>
          <w:marTop w:val="0"/>
          <w:marBottom w:val="0"/>
          <w:divBdr>
            <w:top w:val="none" w:sz="0" w:space="0" w:color="auto"/>
            <w:left w:val="none" w:sz="0" w:space="0" w:color="auto"/>
            <w:bottom w:val="none" w:sz="0" w:space="0" w:color="auto"/>
            <w:right w:val="none" w:sz="0" w:space="0" w:color="auto"/>
          </w:divBdr>
        </w:div>
        <w:div w:id="1918781708">
          <w:marLeft w:val="0"/>
          <w:marRight w:val="0"/>
          <w:marTop w:val="0"/>
          <w:marBottom w:val="0"/>
          <w:divBdr>
            <w:top w:val="none" w:sz="0" w:space="0" w:color="auto"/>
            <w:left w:val="none" w:sz="0" w:space="0" w:color="auto"/>
            <w:bottom w:val="none" w:sz="0" w:space="0" w:color="auto"/>
            <w:right w:val="none" w:sz="0" w:space="0" w:color="auto"/>
          </w:divBdr>
        </w:div>
        <w:div w:id="17008612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210c301ad63d8b20dd9d8e5b7b98137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36036bdbfa36b7e6c62f064d10dbe0d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85A851-136F-4A4B-8491-0924AE2C1C90}"/>
</file>

<file path=customXml/itemProps2.xml><?xml version="1.0" encoding="utf-8"?>
<ds:datastoreItem xmlns:ds="http://schemas.openxmlformats.org/officeDocument/2006/customXml" ds:itemID="{45BE36E1-DBB2-4685-8467-C7C67B2D08E6}"/>
</file>

<file path=customXml/itemProps3.xml><?xml version="1.0" encoding="utf-8"?>
<ds:datastoreItem xmlns:ds="http://schemas.openxmlformats.org/officeDocument/2006/customXml" ds:itemID="{E2D72777-C724-4F4B-BD45-41D58DAA196C}"/>
</file>

<file path=docProps/app.xml><?xml version="1.0" encoding="utf-8"?>
<Properties xmlns="http://schemas.openxmlformats.org/officeDocument/2006/extended-properties" xmlns:vt="http://schemas.openxmlformats.org/officeDocument/2006/docPropsVTypes">
  <Template>Normal.dotm</Template>
  <TotalTime>27</TotalTime>
  <Pages>2</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2024-05-10T12:10:00Z</dcterms:created>
  <dcterms:modified xsi:type="dcterms:W3CDTF">2024-05-10T12:37:00Z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2024-05-10T12:36:19Z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edff0a41-f790-41ae-9e62-3588bc76de8d</vt:lpwstr>
  </property>
  <property fmtid="{D5CDD505-2E9C-101B-9397-08002B2CF9AE}" pid="8" name="MSIP_Label_ec2fa631-0d69-435b-8f58-124ad5e1685b_ContentBits">
    <vt:lpwstr>0</vt:lpwstr>
  </property>
  <property fmtid="{D5CDD505-2E9C-101B-9397-08002B2CF9AE}" pid="9" name="ContentTypeId">
    <vt:lpwstr>0x01010037884A5CEF5D444C93A2AF1F44E8F908</vt:lpwstr>
  </property>
  <property fmtid="{D5CDD505-2E9C-101B-9397-08002B2CF9AE}" pid="11" name="docLang">
    <vt:lpwstr>en</vt:lpwstr>
  </property>
  <property fmtid="{D5CDD505-2E9C-101B-9397-08002B2CF9AE}" pid="12" name="MediaServiceImageTags">
    <vt:lpwstr/>
  </property>
</Properties>
</file>