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6DBC1" w14:textId="77777777" w:rsidR="00C014FB" w:rsidRDefault="00C014FB" w:rsidP="00C014FB">
      <w:pPr>
        <w:spacing w:after="80"/>
      </w:pPr>
      <w:r>
        <w:rPr>
          <w:b/>
          <w:bCs/>
          <w:sz w:val="30"/>
          <w:szCs w:val="30"/>
        </w:rPr>
        <w:t>Weekly Update — Rafeh &amp; Matt</w:t>
      </w:r>
    </w:p>
    <w:p w14:paraId="1999739A" w14:textId="77777777" w:rsidR="00C014FB" w:rsidRDefault="00C014FB" w:rsidP="00C014FB">
      <w:pPr>
        <w:spacing w:after="240"/>
      </w:pPr>
      <w:r>
        <w:rPr>
          <w:color w:val="595959"/>
        </w:rPr>
        <w:t>Week of June 5, 2026</w:t>
      </w:r>
    </w:p>
    <w:p w14:paraId="2EF4916B" w14:textId="77777777" w:rsidR="00C014FB" w:rsidRPr="00824415" w:rsidRDefault="00C014FB" w:rsidP="00C014FB">
      <w:pPr>
        <w:spacing w:after="160"/>
        <w:ind w:left="360" w:hanging="360"/>
      </w:pPr>
      <w:r>
        <w:rPr>
          <w:b/>
          <w:bCs/>
        </w:rPr>
        <w:t xml:space="preserve">• Axiom — Voice 360: </w:t>
      </w:r>
      <w:r>
        <w:t xml:space="preserve">Brought all three Meta Data Framework pipelines into production running daily at 8 AM ET—closing a multi-month automation effort—and completed the historical bullet-points backfill through 2025. Delivered a major UX overhaul to the 3D ship model (multiple clustering options, critical-cluster scoring, click-to-LLM cabin analysis), QA'd the ship-insights report for potential senior-leadership use, presented the Shorex GSO Safety AI email to the RCI/CEL Public Safety Officer meeting, and delivered the Xcel and Solstice Celebrity operations reports. </w:t>
      </w:r>
      <w:r>
        <w:rPr>
          <w:i/>
          <w:iCs/>
        </w:rPr>
        <w:t>Team is completing the Carroll port-email action items, scoping automated per-ship report generation across the fleet, validating the Freedom of the Seas guest-logs report with the business, and queuing Axiom Ship Scorecard changes.</w:t>
      </w:r>
    </w:p>
    <w:p w14:paraId="777B91BB" w14:textId="77777777" w:rsidR="00C014FB" w:rsidRDefault="00C014FB" w:rsidP="00C014FB">
      <w:pPr>
        <w:spacing w:after="160"/>
        <w:ind w:left="360" w:hanging="360"/>
      </w:pPr>
      <w:r>
        <w:rPr>
          <w:b/>
          <w:bCs/>
        </w:rPr>
        <w:t xml:space="preserve">• Contact Center: </w:t>
      </w:r>
      <w:r>
        <w:t xml:space="preserve">Completed end-to-end validation of the 30-minute “Run Your Own FTE” simulator across all workflow steps and confirmed core model accuracy via an independent Databricks backtest, isolating a remaining FTE output discrepancy to the app/integration layer rather than the model; on Project Siren, revived the CCAS booking-ID extraction job and the trade-segmentation lead-scoring pipelines. </w:t>
      </w:r>
      <w:r>
        <w:rPr>
          <w:i/>
          <w:iCs/>
        </w:rPr>
        <w:t>Team is fixing the app-layer FTE discrepancy, completing cross-resolution scenario comparison, integrating the 30-minute mode into production, and resolving upstream data-engineering dependencies blocking the Siren pipelines.</w:t>
      </w:r>
    </w:p>
    <w:p w14:paraId="5A92A74C" w14:textId="77777777" w:rsidR="00C014FB" w:rsidRDefault="00C014FB" w:rsidP="00C014FB">
      <w:pPr>
        <w:spacing w:after="160"/>
        <w:ind w:left="360" w:hanging="360"/>
      </w:pPr>
      <w:r>
        <w:rPr>
          <w:b/>
          <w:bCs/>
        </w:rPr>
        <w:t xml:space="preserve">• Customer Lifetime Value: </w:t>
      </w:r>
      <w:r>
        <w:t xml:space="preserve">Aligned with the Transformation Hub to ingest a transformed EPM output carrying Catalyst's nearest pax-level allocation directly into the CLV pipeline, built violin-plot APD buckets via KDE local minima to profile top-APD RCG guests by income and wealth, and aligned with Corporate Strategy on a June deliverable: a brand-by-region yield and revenue forecast for 2026–2031 with confidence ranges and an over/under-performance signal. </w:t>
      </w:r>
      <w:r>
        <w:rPr>
          <w:i/>
          <w:iCs/>
        </w:rPr>
        <w:t>Team is validating Data Solutions' POC source table and Revenue Planning's corrected 2025 test tables (now under 1% delta on pax and NTR), and acquiring industry capacity and fleet-model data for integration.</w:t>
      </w:r>
    </w:p>
    <w:p w14:paraId="4728EBE5" w14:textId="77777777" w:rsidR="00C014FB" w:rsidRDefault="00C014FB" w:rsidP="00C014FB">
      <w:pPr>
        <w:spacing w:after="160"/>
        <w:ind w:left="360" w:hanging="360"/>
      </w:pPr>
      <w:r>
        <w:rPr>
          <w:b/>
          <w:bCs/>
        </w:rPr>
        <w:t xml:space="preserve">• E-Commerce — Customer Targeting: </w:t>
      </w:r>
      <w:r>
        <w:t xml:space="preserve">Completed a full disparate-impact audit across all scoring models (BP, PCP, PHML, Uplift, NBO) to assess NY AI price-discrimination law compliance, covering age, neighborhood-wealth, lifestyle, and geographic proxies, and confirmed via the model-drift dashboard that newly integrated app-usage features delivered meaningful AUC lifts; also added incremental clickstream ingestion and finished the journey-stage model prediction pipeline. </w:t>
      </w:r>
      <w:r>
        <w:rPr>
          <w:i/>
          <w:iCs/>
        </w:rPr>
        <w:t>Team is building the legal-review presentation and removing protected features ahead of NY deployment, wiring the long-disconnected clickstream ingestion job into the weekly ETL, and developing four pre-cruise app-engagement features for the PCP models.</w:t>
      </w:r>
    </w:p>
    <w:p w14:paraId="07EE8F81" w14:textId="77777777" w:rsidR="00C014FB" w:rsidRDefault="00C014FB" w:rsidP="00C014FB">
      <w:pPr>
        <w:spacing w:after="160"/>
        <w:ind w:left="360" w:hanging="360"/>
      </w:pPr>
      <w:r>
        <w:rPr>
          <w:b/>
          <w:bCs/>
        </w:rPr>
        <w:t xml:space="preserve">• IBP: </w:t>
      </w:r>
      <w:r>
        <w:t xml:space="preserve">SteerCo approved the IBP pilot rollout to Summit and Laura requested a plan within two weeks to take the pilot fleetwide across Celebrity and Royal—the week's most significant signal. The Marine Consumables demand model beat its target at 25.0% median error on held-out months with a peer-review-grade IEEE paper and stakeholder summary; the Supply Model refactor and SSC MMS→Crunchtime migration both reached production (the latter closing a 100% silent Silversea data-loss gap), silently dropped FROZEN/CHILL/HAZMAT/BOND load types were recovered across all 44 ships, and the CocoCay forecast guardrail merged to monitoring to protect provisioning on BEYOND's new itinerary. On Claims, delivered a 50-page DPIA and EU AI Act assessment confirming Project TIDES is legally viable at scale as a human-supervised decision-support system, earning strong steering-group buy-in with the Claims Workbench validated as the </w:t>
      </w:r>
      <w:r>
        <w:lastRenderedPageBreak/>
        <w:t xml:space="preserve">differentiator. Began scoping a vector database for eCAR with Capital Planning. </w:t>
      </w:r>
      <w:r>
        <w:rPr>
          <w:i/>
          <w:iCs/>
        </w:rPr>
        <w:t>Team is assembling the fleetwide readiness assessment, dependency map, and resourcing plan for Laura's meeting, productionizing the Marine model and CocoCay guardrail, finalizing TIDES legal boundary conditions and human-in-the-loop governance, and validating SSC consumption/prediction-ratio adjustments.</w:t>
      </w:r>
    </w:p>
    <w:p w14:paraId="6603FD23" w14:textId="77777777" w:rsidR="00C014FB" w:rsidRDefault="00C014FB" w:rsidP="00C014FB">
      <w:pPr>
        <w:spacing w:after="160"/>
        <w:ind w:left="360" w:hanging="360"/>
      </w:pPr>
      <w:r>
        <w:rPr>
          <w:b/>
          <w:bCs/>
        </w:rPr>
        <w:t xml:space="preserve">• MIAP: </w:t>
      </w:r>
      <w:r>
        <w:t xml:space="preserve">Re-established alignment with the decarbonization organization through the new UK-based Energy Management team, gaining direct integration into recurring decarb stakeholder forums previously excluded from, and aligned on an Energy AI “Money Map” targeting ~$56.5M in incremental annual energy savings on top of ~$50M already realized, requiring ~$8M capital and ~$2M annual OpEx with three initiatives slated for the 2027 capital roadmap. Completed the AMOS AI agent (LEIF), a specialized agent answering user questions on AMOS and its underlying data, and upgraded the MIAP agent package with a judge agent and output-summarization sub-agent. Advanced charge-air-cooler fouling detection on the Wärtsilä 46F fleet via a physics-plus-ML hybrid model, completed bio/biogas blend logic in the Digital Twin, added chiller, route-mapping, and region-tagging features to the MIAP app, and detected a ~150 kW AHU deviation now approved for ship-side repair. </w:t>
      </w:r>
      <w:r>
        <w:rPr>
          <w:i/>
          <w:iCs/>
        </w:rPr>
        <w:t>Team is productionizing the V3 charge-air-cooler monitoring pipeline, resolving the individual-chiller model errors, and clarifying funded-versus-incremental elements of the energy roadmap for capital planning.</w:t>
      </w:r>
    </w:p>
    <w:p w14:paraId="4213072C" w14:textId="77777777" w:rsidR="00C014FB" w:rsidRDefault="00C014FB" w:rsidP="00C014FB">
      <w:pPr>
        <w:spacing w:after="160"/>
        <w:ind w:left="360" w:hanging="360"/>
      </w:pPr>
      <w:r>
        <w:rPr>
          <w:b/>
          <w:bCs/>
        </w:rPr>
        <w:t xml:space="preserve">• Newbuild: </w:t>
      </w:r>
      <w:r>
        <w:t xml:space="preserve">Completed a full first draft of the Newbuild AI Enterprise Observatory CAR—roughly 17 pages plus financials requesting $1.6M Capex and approximately $680K–$700K recurring Opex—and circulated it for review, framed as institutionalizing fragmented Newbuild knowledge internally rather than repeatedly hiring consultants, and secured Hani's alignment on the knowledge-retention rationale and Newbuild–Marine Operations linkage. Secured funding agreement from Newbuild IT and Marine for real-time ML on the Hero of the Seas yard energy solution and created an Obsidian-based knowledge repository structured for knowledge graphs. </w:t>
      </w:r>
      <w:r>
        <w:rPr>
          <w:i/>
          <w:iCs/>
        </w:rPr>
        <w:t>Team is reviewing the draft with Hani and finance, then sharing with Harri and Naf to build support, with the CAR targeted for July submission.</w:t>
      </w:r>
    </w:p>
    <w:p w14:paraId="6F070C8E" w14:textId="77777777" w:rsidR="00C014FB" w:rsidRDefault="00C014FB" w:rsidP="00C014FB">
      <w:pPr>
        <w:spacing w:after="160"/>
        <w:ind w:left="360" w:hanging="360"/>
        <w:rPr>
          <w:i/>
          <w:iCs/>
        </w:rPr>
      </w:pPr>
      <w:r>
        <w:rPr>
          <w:b/>
          <w:bCs/>
        </w:rPr>
        <w:t xml:space="preserve">• PCP Pricing Automation: </w:t>
      </w:r>
      <w:r>
        <w:t xml:space="preserve">Completed the second targeted-offers pilot through the now-scaled Targeted Offers Hub—~4,651 app/web offers and 5,000 beverage offers at 50% off—with first-day readings showing the test population converting 4X the control, proving a functional targeted-offer capability that drives behavior. Fully migrated the MyCruise recommender to dedicated production Postgres, clearing the prior network/firewall blocker, and enabled production A/B testing with hard-coded business-pick slots and a D3.js-resolved Atlas visualization. Refined the beverage dilution model to ~30% MdAPE with a Memorial Day backtest validating scalability, rebuilt the CEL Beverage PRE model from linear MNL to a LightGBM ranking framework, built the foundational CRF automation tables with an initial automated Waterpark CRF, and the daily target-setting model has run in production since mid-May. </w:t>
      </w:r>
      <w:r>
        <w:rPr>
          <w:i/>
          <w:iCs/>
        </w:rPr>
        <w:t>Team is isolating high-volume products into a separate dilution model and advancing to demand modeling, debugging the Beverage PRE feature store, productionizing improved recommender models and segmentation, finalizing Waterpark CRF validation with the business, and preparing a target-setting forecasting-accuracy readout.</w:t>
      </w:r>
    </w:p>
    <w:p w14:paraId="7C79A12A" w14:textId="77777777" w:rsidR="00C014FB" w:rsidRDefault="00C014FB" w:rsidP="00C014FB">
      <w:pPr>
        <w:spacing w:after="160"/>
        <w:ind w:left="360" w:hanging="360"/>
      </w:pPr>
      <w:r>
        <w:rPr>
          <w:b/>
          <w:bCs/>
        </w:rPr>
        <w:t xml:space="preserve">• PROPEL (CEL): </w:t>
      </w:r>
      <w:r>
        <w:t xml:space="preserve">Confirmed measurement data is sound after correcting a deeply flawed BCG base dataset that duplicated offers and failed to account for last-minute cancellations, unblocking Celebrity's ability to measure offer conversion and lift. Hardened production by resolving concurrency write failures, eliminating offer-mapping conflicts, preventing duplicate WiFi offers for bundled guests, and optimizing Spark performance in assign-offer logic, while expanding system documentation across concurrency, deployment, and information </w:t>
      </w:r>
      <w:r>
        <w:lastRenderedPageBreak/>
        <w:t xml:space="preserve">architecture. </w:t>
      </w:r>
      <w:r>
        <w:rPr>
          <w:i/>
          <w:iCs/>
        </w:rPr>
        <w:t>Team is building an offer simulation/validation application with scalable backend architecture, permissions, logging, auditability, and flexible rule configuration.</w:t>
      </w:r>
    </w:p>
    <w:p w14:paraId="6128B294" w14:textId="77777777" w:rsidR="00C014FB" w:rsidRDefault="00C014FB" w:rsidP="00C014FB">
      <w:pPr>
        <w:spacing w:after="160"/>
        <w:ind w:left="360" w:hanging="360"/>
        <w:rPr>
          <w:b/>
          <w:bCs/>
        </w:rPr>
      </w:pPr>
      <w:r>
        <w:rPr>
          <w:b/>
          <w:bCs/>
        </w:rPr>
        <w:t xml:space="preserve">• Revenue Management (CEL): </w:t>
      </w:r>
      <w:r>
        <w:t xml:space="preserve">Finalized the demand model and all deployment requirements and pushed it to QA and production, fixing elasticity-curve boundary spikes and confirming no temporal leakage via walk-forward backtesting, with PRE go-live expected in two weeks; separately deployed elasticity-based price-change logic with 3% and 5% recommendation scenarios, validated as compatible without downstream changes. Resolved core Category-Gapping optimizer defects—booking shares exceeding 1 from GTY/physical-cabin double counting, Premium-tier over-allocation, and monotonicity gaps—and ran validation walkthroughs with RCI and CEL. Concluded the stale-pricing investigation and confirmed correct behavior after weeks of elevated stale rates, re-established track-optimization bounds on 2025+ sailings using capacity-percentage bounds with sparse-data fallback, and a new constrained cubic-spline smoothing algorithm brought Alaska and Caribbean tracks within SPI range. </w:t>
      </w:r>
      <w:r>
        <w:rPr>
          <w:i/>
          <w:iCs/>
        </w:rPr>
        <w:t>Team is validating the alternative smoothing algorithm and SPI-based Europe bound revision, building a Data Governance stale-pricing alert, sourcing actual bookings to close a post-production performance-tracking gap, and refining the promo recommendation file for Power BI.</w:t>
      </w:r>
    </w:p>
    <w:p w14:paraId="7157CE60" w14:textId="77777777" w:rsidR="00C014FB" w:rsidRDefault="00C014FB" w:rsidP="00C014FB">
      <w:pPr>
        <w:spacing w:after="160"/>
        <w:ind w:left="360" w:hanging="360"/>
      </w:pPr>
      <w:r>
        <w:rPr>
          <w:b/>
          <w:bCs/>
        </w:rPr>
        <w:t xml:space="preserve">• Revenue Management (RCI): </w:t>
      </w:r>
      <w:r>
        <w:t xml:space="preserve">Gained alignment to move the RCI PRE cutoff from 12 weeks-to-sail to 45 days-to-sail starting with Short Caribbean, enabled by a process that dynamically identifies ships and sail dates on Last-Minute Cruise promotions, and drove PRE acceptance above 70% (up from the low 60s) as track smoothing cut erratically-moving track labels from 26% in April to 14% last week; also led a major TAP refactor centralizing shared logic into a new framework package for SharePoint, schemas, training, and IO utilities. </w:t>
      </w:r>
      <w:r>
        <w:rPr>
          <w:i/>
          <w:iCs/>
        </w:rPr>
        <w:t>Team is reviewing recommendations in the new cutoff window with the Short Caribbean team and preparing change-management content for the Quad Management off-peak link/de-link strategy launching at month-end.</w:t>
      </w:r>
    </w:p>
    <w:p w14:paraId="50952752" w14:textId="77777777" w:rsidR="00C014FB" w:rsidRDefault="00C014FB" w:rsidP="00C014FB">
      <w:pPr>
        <w:spacing w:after="160"/>
        <w:ind w:left="360" w:hanging="360"/>
        <w:rPr>
          <w:i/>
          <w:iCs/>
        </w:rPr>
      </w:pPr>
      <w:r>
        <w:rPr>
          <w:b/>
          <w:bCs/>
        </w:rPr>
        <w:t xml:space="preserve">• Revenue Management (SSC): </w:t>
      </w:r>
      <w:r>
        <w:t xml:space="preserve">Built a bootstrapping infrastructure to identify optimal coefficient sets for the top-suite pricing algorithm, simulating the full booking lifecycle against legacy SSC pricing methods with binomial demand simulation and sales-funnel attrition to define the treatment group for the upcoming A/B test. </w:t>
      </w:r>
      <w:r>
        <w:rPr>
          <w:i/>
          <w:iCs/>
        </w:rPr>
        <w:t>Team is running the bootstrapping experiments to select the best-performing coefficients for the A/B test.</w:t>
      </w:r>
    </w:p>
    <w:p w14:paraId="051244BE" w14:textId="77777777" w:rsidR="00C014FB" w:rsidRDefault="00C014FB" w:rsidP="00C014FB">
      <w:pPr>
        <w:spacing w:after="160"/>
        <w:ind w:left="360" w:hanging="360"/>
      </w:pPr>
      <w:r>
        <w:rPr>
          <w:b/>
          <w:bCs/>
        </w:rPr>
        <w:t xml:space="preserve">• Win-on-Waste: </w:t>
      </w:r>
      <w:r>
        <w:t xml:space="preserve">Completed a full cleanup and correction of the Interport pipeline and integrated it with the Specialty pipeline, resolving prior schema inconsistencies, checkpoint failures, feature-engineering errors, and parallel-modeling issues, and added and deployed a new venue, Chef's Table, across the Bar, Restaurant, and Specialty Interport pipelines despite its low-frequency, sparse, ship-varying data requiring custom handling. </w:t>
      </w:r>
      <w:r>
        <w:rPr>
          <w:i/>
          <w:iCs/>
        </w:rPr>
        <w:t>Team is integrating Portside Barbecue into the Specialty pipeline and addressing the still-pending MDR Interport corrections.</w:t>
      </w:r>
    </w:p>
    <w:p w14:paraId="28E3D93C" w14:textId="77777777" w:rsidR="00C014FB" w:rsidRDefault="00C014FB" w:rsidP="00C014FB">
      <w:pPr>
        <w:spacing w:after="160"/>
        <w:ind w:left="360" w:hanging="360"/>
      </w:pPr>
    </w:p>
    <w:p w14:paraId="48118CB7" w14:textId="77777777" w:rsidR="00C014FB" w:rsidRDefault="00C014FB" w:rsidP="00C014FB">
      <w:pPr>
        <w:spacing w:after="160"/>
      </w:pPr>
    </w:p>
    <w:p w14:paraId="410D7F41" w14:textId="77777777" w:rsidR="00737DB5" w:rsidRPr="00C014FB" w:rsidRDefault="00737DB5" w:rsidP="00C014FB"/>
    <w:sectPr w:rsidR="00737DB5" w:rsidRPr="00C014FB" w:rsidSect="00C014F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FB"/>
    <w:rsid w:val="00044FE6"/>
    <w:rsid w:val="002956A2"/>
    <w:rsid w:val="0048405E"/>
    <w:rsid w:val="00737DB5"/>
    <w:rsid w:val="00C0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B5F80"/>
  <w15:chartTrackingRefBased/>
  <w15:docId w15:val="{10CDD258-38D6-4805-817A-4C6338EB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4FB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4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4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4F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4F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4F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4F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4F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4F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4F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4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1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4F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1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4F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1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4F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1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1497</Words>
  <Characters>9582</Characters>
  <Application>Microsoft Office Word</Application>
  <DocSecurity>0</DocSecurity>
  <Lines>134</Lines>
  <Paragraphs>17</Paragraphs>
  <ScaleCrop>false</ScaleCrop>
  <Company/>
  <LinksUpToDate>false</LinksUpToDate>
  <CharactersWithSpaces>11062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1</cp:revision>
  <dcterms:created xsi:type="dcterms:W3CDTF">2026-06-05T20:51:00Z</dcterms:created>
  <dcterms:modified xsi:type="dcterms:W3CDTF">2026-06-05T20:53:00Z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2026-06-05T20:51:36Z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43a214e2-9e49-4f0a-8c58-ebc964269f16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</Properties>
</file>