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FD74" w14:textId="0C0A1040" w:rsidR="00F41813" w:rsidRDefault="00BF2777">
      <w:pPr>
        <w:spacing w:after="220"/>
      </w:pPr>
      <w:r>
        <w:rPr>
          <w:b/>
          <w:bCs/>
          <w:sz w:val="30"/>
          <w:szCs w:val="30"/>
        </w:rPr>
        <w:t>Business Area Updates</w:t>
      </w:r>
    </w:p>
    <w:p w14:paraId="0379EF1C" w14:textId="77777777" w:rsidR="00F41813" w:rsidRDefault="00977B73">
      <w:pPr>
        <w:pStyle w:val="ListParagraph"/>
        <w:numPr>
          <w:ilvl w:val="0"/>
          <w:numId w:val="6"/>
        </w:numPr>
        <w:spacing w:after="180"/>
      </w:pPr>
      <w:r>
        <w:rPr>
          <w:b/>
          <w:bCs/>
        </w:rPr>
        <w:t xml:space="preserve">Axiom: </w:t>
      </w:r>
      <w:r>
        <w:t xml:space="preserve">Completed the first full version of the “Voice of the Guest” guest-logs report and its generation pipeline, so per-ship reports can now be produced and sent to stakeholders instead of being built one by one. Scaled the dry-dock-style fleet ship report to seven more ships (six Royal Caribbean), now drawing directly on resumed multi-source scraping (Cruise Critic, Reddit, TripAdvisor) after clearing a multi-week Reddit block, and shipped a 3D port map that exposes excursion-category coverage gaps port by port. </w:t>
      </w:r>
      <w:r>
        <w:rPr>
          <w:i/>
          <w:iCs/>
        </w:rPr>
        <w:t>Team is scoping realtime guest-log classification inside the SmartService agent app to AI-assist categorization at the desk, hardening the now-automated Meta Data Framework pipeline against mid-run failures, and standing up a TikTok transcription harness to analyze guest sentiment.</w:t>
      </w:r>
    </w:p>
    <w:p w14:paraId="77D6BFD7" w14:textId="77777777" w:rsidR="00F41813" w:rsidRDefault="00977B73">
      <w:pPr>
        <w:pStyle w:val="ListParagraph"/>
        <w:numPr>
          <w:ilvl w:val="0"/>
          <w:numId w:val="6"/>
        </w:numPr>
        <w:spacing w:after="180"/>
      </w:pPr>
      <w:r>
        <w:rPr>
          <w:b/>
          <w:bCs/>
        </w:rPr>
        <w:t xml:space="preserve">Customer Lifetime Value: </w:t>
      </w:r>
      <w:r>
        <w:t xml:space="preserve">Refactored the entire CLV pipeline into a segmented four-notebook job with end-to-end validation of passenger counts, duplicates, and column integrity plus automatic output profiling, readying it for final productionization. Built an automated script that pulls competitors’ quarterly and annual SEC filings (RCL, CCL, NCLH, VIK) into a standardized table of financial and capacity figures from 2019 to present, giving a consistent industry baseline for capacity analysis. </w:t>
      </w:r>
      <w:r>
        <w:rPr>
          <w:i/>
          <w:iCs/>
        </w:rPr>
        <w:t>Team is completing a final ETL test run pending corrected stage-table updates and triangulating industry capacity against CLIA, fleet-model, and deployment data to derive a cut-level adjustment factor.</w:t>
      </w:r>
    </w:p>
    <w:p w14:paraId="048A8910" w14:textId="77777777" w:rsidR="00F41813" w:rsidRDefault="00977B73">
      <w:pPr>
        <w:pStyle w:val="ListParagraph"/>
        <w:numPr>
          <w:ilvl w:val="0"/>
          <w:numId w:val="6"/>
        </w:numPr>
        <w:spacing w:after="180"/>
      </w:pPr>
      <w:r>
        <w:rPr>
          <w:b/>
          <w:bCs/>
        </w:rPr>
        <w:t xml:space="preserve">Contact Center: </w:t>
      </w:r>
      <w:r>
        <w:t xml:space="preserve">Advanced the “Run Your Own FTE” simulator with side-by-side multi-scenario comparison now roughly 70% complete, letting planners compare assumption sets, call-volume forecasts, and office-hours schedules at once instead of re-running the model and reconciling spreadsheets by hand. Began combined-LOB planning (about 20% complete), starting with Casino so planners get a single staffing answer for Casino Sales and Services the way the North America team actually operates. </w:t>
      </w:r>
      <w:r>
        <w:rPr>
          <w:i/>
          <w:iCs/>
        </w:rPr>
        <w:t>Team is finalizing 30-minute-model validation (blocked on upstream Genesys data quality) and resolving an SFTP delivery failure caused by a firewall rule that drops SSH data after the initial handshake.</w:t>
      </w:r>
    </w:p>
    <w:p w14:paraId="2322E290" w14:textId="5CF9D679" w:rsidR="00596334" w:rsidRPr="00596334" w:rsidRDefault="00596334" w:rsidP="00596334">
      <w:pPr>
        <w:pStyle w:val="ListParagraph"/>
        <w:numPr>
          <w:ilvl w:val="0"/>
          <w:numId w:val="6"/>
        </w:numPr>
      </w:pPr>
      <w:r>
        <w:rPr>
          <w:b/>
          <w:bCs/>
        </w:rPr>
        <w:t xml:space="preserve">E-Commerce - Customer Targeting: </w:t>
      </w:r>
      <w:r w:rsidR="00D02873" w:rsidRPr="00D02873">
        <w:t xml:space="preserve">Team presented a deck highlighting recently regulatory compliance rules of EU to E-Commerce teams. Based on the discussion, the E-Commerce leadership team decided not to target EU customers or any non-EU customers operating within the EU regulatory environment, primarily to avoid the compliance burden and enforcement exposure posed by the GDPR's &amp; EU AI Act's strict rules on automated decision-making and use of protected data. </w:t>
      </w:r>
      <w:r w:rsidR="00D02873">
        <w:t>Also m</w:t>
      </w:r>
      <w:r>
        <w:t xml:space="preserve">oved the journey-score model into production after code cleanup and testing, putting customer journey-stage scoring into the live targeting stack. </w:t>
      </w:r>
      <w:r>
        <w:rPr>
          <w:i/>
          <w:iCs/>
        </w:rPr>
        <w:t>Team is generating data-availability and freshness reporting to support the Silversea Jakala transition and its new models.</w:t>
      </w:r>
    </w:p>
    <w:p w14:paraId="351C1542" w14:textId="77777777" w:rsidR="00596334" w:rsidRDefault="00596334" w:rsidP="00596334"/>
    <w:p w14:paraId="6ABC5789" w14:textId="77777777" w:rsidR="00596334" w:rsidRDefault="00596334" w:rsidP="00596334">
      <w:pPr>
        <w:pStyle w:val="ListParagraph"/>
        <w:numPr>
          <w:ilvl w:val="0"/>
          <w:numId w:val="6"/>
        </w:numPr>
      </w:pPr>
      <w:r>
        <w:rPr>
          <w:b/>
          <w:bCs/>
        </w:rPr>
        <w:t>IBP:</w:t>
      </w:r>
      <w:r>
        <w:t xml:space="preserve"> </w:t>
      </w:r>
      <w:r w:rsidRPr="00596334">
        <w:t>Strong SteerCo alignment on 6/11 has positioned IBP for Laura’s 6/15 rollout decision (Celebrity → Royal), marking a clear inflection point from pilot to scaled production</w:t>
      </w:r>
      <w:r>
        <w:t xml:space="preserve">, </w:t>
      </w:r>
      <w:r w:rsidRPr="00596334">
        <w:t>now delivering real financial impact, operational automation, and executive-grade visibility</w:t>
      </w:r>
      <w:r>
        <w:t xml:space="preserve">, </w:t>
      </w:r>
      <w:r w:rsidRPr="00596334">
        <w:t>with the primary constraint shifting from capability to capacity (team scaling and change management). This week</w:t>
      </w:r>
      <w:r>
        <w:t xml:space="preserve"> </w:t>
      </w:r>
      <w:r w:rsidRPr="00596334">
        <w:t xml:space="preserve">the team </w:t>
      </w:r>
      <w:r>
        <w:t xml:space="preserve">notably </w:t>
      </w:r>
      <w:r w:rsidRPr="00596334">
        <w:t xml:space="preserve">introduced the HFB Lab and Observatory, a self-improving experimentation system that compounds learning from both wins and failures to continuously optimize ~300K models across ~100 features, model frameworks, and guardrails, forming a scalable, governed AI system that has already improved forecast accuracy in HF&amp;B by 29% for RCI/CEL HF&amp;B (15% → 10% error) and 26% for SSC (34% → 25% error). This momentum is </w:t>
      </w:r>
      <w:r>
        <w:t xml:space="preserve">also </w:t>
      </w:r>
      <w:r w:rsidRPr="00596334">
        <w:t>reinforced by key production milestones, including the launch of Marine Consumables as a net-new operational capability, the Finance Tracking Tool going live with a refactored architecture reducing compute time by 33% (17 hours → 11 hours), the Executive Overview Dashboard transitioning into a fully functional React-based application with future conversational analytics capabilities, the correction of a critical MOT reporting error, and delivery of two new Global Marine Operations inventory products: an unhealthy-inventory classifier covering ~1.1M line items and a 60-ship stock-depletion forecast dashboard.</w:t>
      </w:r>
      <w:r>
        <w:t xml:space="preserve">. </w:t>
      </w:r>
      <w:r>
        <w:rPr>
          <w:i/>
          <w:iCs/>
        </w:rPr>
        <w:t>Team is preparing the fleetwide Celebrity-and-Royal rollout assessment for Laura’s 6/15 meeting, where Royal-scale change-management staffing will be flagged, and deciding ownership of the HF&amp;B shadow-to-production cutover.</w:t>
      </w:r>
    </w:p>
    <w:p w14:paraId="437FEED9" w14:textId="72DD90EA" w:rsidR="00F41813" w:rsidRDefault="00977B73">
      <w:pPr>
        <w:pStyle w:val="ListParagraph"/>
        <w:numPr>
          <w:ilvl w:val="0"/>
          <w:numId w:val="6"/>
        </w:numPr>
        <w:spacing w:after="180"/>
      </w:pPr>
      <w:r>
        <w:rPr>
          <w:b/>
          <w:bCs/>
        </w:rPr>
        <w:t xml:space="preserve">MIAP: </w:t>
      </w:r>
      <w:r>
        <w:t xml:space="preserve">Built a structured AMOS ontology and reporting cube on top of the new AMOS AI agent, giving marine-operations and finance teams self-serve visibility into asset and maintenance data that the finance-transformation and asset-management teams called a game-changer. Completed the capital-savings project in the Digital Twin Fuel Forecast platform and pushed it to both the MIAP app and REST API, and expanded charge-air-cooler fouling detection (v4) across nine additional hulls with four years of 10-minute sensor history per ship, broadening early-warning coverage of engine degradation fleetwide. </w:t>
      </w:r>
      <w:r>
        <w:rPr>
          <w:i/>
          <w:iCs/>
        </w:rPr>
        <w:t xml:space="preserve">Team is standing up automated safety-KPI classification with the safety team, productionizing MIAP data-streaming and file-count </w:t>
      </w:r>
      <w:r w:rsidR="00596334">
        <w:rPr>
          <w:i/>
          <w:iCs/>
        </w:rPr>
        <w:t>monitoring and</w:t>
      </w:r>
      <w:r>
        <w:rPr>
          <w:i/>
          <w:iCs/>
        </w:rPr>
        <w:t xml:space="preserve"> updating the fuel-forecast workflow in QA.</w:t>
      </w:r>
    </w:p>
    <w:p w14:paraId="0FE1174C" w14:textId="77777777" w:rsidR="00596334" w:rsidRDefault="00596334" w:rsidP="00596334">
      <w:pPr>
        <w:pStyle w:val="ListParagraph"/>
        <w:numPr>
          <w:ilvl w:val="0"/>
          <w:numId w:val="6"/>
        </w:numPr>
      </w:pPr>
      <w:r>
        <w:rPr>
          <w:b/>
          <w:bCs/>
        </w:rPr>
        <w:t xml:space="preserve">PCP MyCruise Recommender: </w:t>
      </w:r>
      <w:r>
        <w:t xml:space="preserve">Extended the recommendation engine’s market-basket (Apriori) rules beyond shore excursions to Dining, Beverage, and Spa and hardened collaborative filtering with thin-cart fallbacks and a defined stacking order, the largest jump in recommendation coverage and quality since the original ALS work. Wired new client- and product-segmentation models into the live ForYou pipeline and introduced a single end-to-end metric that scores models on the actual recommendations guests see, so tuning now optimizes real output rather than an intermediate proxy. </w:t>
      </w:r>
      <w:r>
        <w:rPr>
          <w:i/>
          <w:iCs/>
        </w:rPr>
        <w:t>Team is building an A/B splitter so the recommender can run its own head-to-head configuration tests and running coverage checks (Royal Beach Club case study) to confirm key products surface in recommendations.</w:t>
      </w:r>
    </w:p>
    <w:p w14:paraId="0838A8BC" w14:textId="77777777" w:rsidR="00596334" w:rsidRDefault="00596334" w:rsidP="00596334">
      <w:pPr>
        <w:pStyle w:val="ListParagraph"/>
        <w:numPr>
          <w:ilvl w:val="0"/>
          <w:numId w:val="6"/>
        </w:numPr>
      </w:pPr>
      <w:r>
        <w:rPr>
          <w:b/>
          <w:bCs/>
        </w:rPr>
        <w:t xml:space="preserve">PCP Pricing Automation: </w:t>
      </w:r>
      <w:r>
        <w:t xml:space="preserve">Added audience-ID tracking and control-group stratification to the Targeted Offers app to ensure balanced, measurable test populations, and surfaced concrete fixes from Celebrity’s second pilot: Hybris record-processing throughput and a checkout failure that blocked test-account purchases after notification. </w:t>
      </w:r>
      <w:r>
        <w:rPr>
          <w:i/>
          <w:iCs/>
        </w:rPr>
        <w:t>Team is scoping the Email UI and a SQL-based Audience Builder MVP, validating the automated Waterpark CRF against the business’s manual process, and debugging the customer-level Beverage PRE feature store ahead of retraining the LightGBM demand model.</w:t>
      </w:r>
    </w:p>
    <w:p w14:paraId="4C494640" w14:textId="71D2FD2E" w:rsidR="00F41813" w:rsidRDefault="00977B73">
      <w:pPr>
        <w:pStyle w:val="ListParagraph"/>
        <w:numPr>
          <w:ilvl w:val="0"/>
          <w:numId w:val="6"/>
        </w:numPr>
        <w:spacing w:after="180"/>
      </w:pPr>
      <w:r>
        <w:rPr>
          <w:b/>
          <w:bCs/>
        </w:rPr>
        <w:t xml:space="preserve">PROPEL: </w:t>
      </w:r>
      <w:r>
        <w:t>Resolved performance bottlenecks in the Assign Offer pipeline that are on track to cut per-ship runtime</w:t>
      </w:r>
      <w:r w:rsidR="00596334">
        <w:t xml:space="preserve"> by 3x</w:t>
      </w:r>
      <w:r>
        <w:t xml:space="preserve"> </w:t>
      </w:r>
      <w:r w:rsidR="00596334">
        <w:t>(</w:t>
      </w:r>
      <w:r>
        <w:t>from 60–90 minutes to an estimated 20–30 minutes</w:t>
      </w:r>
      <w:r w:rsidR="00596334">
        <w:t>)</w:t>
      </w:r>
      <w:r>
        <w:t xml:space="preserve">, materially speeding offer assignment across the fleet. Enabled unfiltered granular revenue measurement that now captures negative revenue, finalized the configuration app’s quota-setup UI and validations, and cleared two production incidents (a configuration fault affecting Art/Park West and an uplift-model retraining failure traced to a deprecated measurements table). </w:t>
      </w:r>
      <w:r>
        <w:rPr>
          <w:i/>
          <w:iCs/>
        </w:rPr>
        <w:t>Team is building the offer simulation and validation application and completing New Offer Template setup, pending offer-config, offering, and category–product mapping.</w:t>
      </w:r>
    </w:p>
    <w:p w14:paraId="119ED810" w14:textId="3E27D476" w:rsidR="00596334" w:rsidRDefault="00596334" w:rsidP="00596334">
      <w:pPr>
        <w:pStyle w:val="ListParagraph"/>
        <w:numPr>
          <w:ilvl w:val="0"/>
          <w:numId w:val="6"/>
        </w:numPr>
      </w:pPr>
      <w:r>
        <w:rPr>
          <w:b/>
          <w:bCs/>
        </w:rPr>
        <w:t xml:space="preserve">Revenue Management (CEL &amp; RCI): </w:t>
      </w:r>
      <w:r>
        <w:t xml:space="preserve">Deployed the significantly improve Celebrity demand forecasting model to production with business approval, now live and ready for PRE. Delivered new-versus-production price-change comparison plots showing the updated elasticity model clusters changes near zero with lower cap-hit rates, and shipped the promo-action recommendation file to analysts (positive feedback) after tightening SPI benchmarking to exact weeks-to-sail. Also, team reworked the Category Gapping price optimizer to solve for feasibility first, scale penalties as a percentage of LAF price, and cap GTY usage with tiered penalties, eliminating unrealistic recommendations and paving way to release the Category Gapping optimizer for CEL. </w:t>
      </w:r>
      <w:r>
        <w:rPr>
          <w:i/>
          <w:iCs/>
        </w:rPr>
        <w:t>Team is finishing the model-performance dashboard (two of three tabs built, ~80%, with a Celebrity feedback session on 6/16), productionizing demand-forecast ETL, and running Bayesian and sequential analysis on near-term T4 test clusters.</w:t>
      </w:r>
    </w:p>
    <w:p w14:paraId="7B082F0F" w14:textId="77777777" w:rsidR="00596334" w:rsidRDefault="00596334" w:rsidP="00596334">
      <w:pPr>
        <w:pStyle w:val="ListParagraph"/>
        <w:numPr>
          <w:ilvl w:val="0"/>
          <w:numId w:val="6"/>
        </w:numPr>
      </w:pPr>
      <w:r>
        <w:rPr>
          <w:b/>
          <w:bCs/>
        </w:rPr>
        <w:t xml:space="preserve">Revenue Management (SSC): </w:t>
      </w:r>
      <w:r>
        <w:t xml:space="preserve">Put several Silversea PRE pricing enhancements into production: targeting the last-minute (UL) fare code for voyages within 20 weeks of sailing to avoid oversized changes and recommendation pauses, and adding percentage-based discount handling in time for Silversea’s promotion transition, and optimized PRE runtime to give analysts a full 24-hour review window, improving approval-rate accuracy. Closed the top-tier-suite bootstrapping effort after Data Science management opted not to adopt it, pivoting to EDA-driven analysis of upgrade behavior to define the suite-pricing test. </w:t>
      </w:r>
      <w:r>
        <w:rPr>
          <w:i/>
          <w:iCs/>
        </w:rPr>
        <w:t>Team is scoping a Performance Visibility and Revenue Tracking Framework with stakeholders, fixing a feature-store load-factor bug that understated occupancy (in production next week), and capping expedition-cruise price changes at 3%.</w:t>
      </w:r>
    </w:p>
    <w:p w14:paraId="023B4CA8" w14:textId="2D4BA250" w:rsidR="00F41813" w:rsidRDefault="00977B73">
      <w:pPr>
        <w:pStyle w:val="ListParagraph"/>
        <w:numPr>
          <w:ilvl w:val="0"/>
          <w:numId w:val="6"/>
        </w:numPr>
        <w:spacing w:after="180"/>
      </w:pPr>
      <w:r>
        <w:rPr>
          <w:b/>
          <w:bCs/>
        </w:rPr>
        <w:t>Risk Management:</w:t>
      </w:r>
      <w:r w:rsidR="0063555B" w:rsidRPr="0063555B">
        <w:t xml:space="preserve"> The team is advancing Risk Management use cases by partnering closely with Legal to establish the required approval pathways for handling highly sensitive medical and guest/crew data, ensuring compliance while enabling future AI-driven decisioning in this space. As part of this effort, the Project TIDE claims workbench was successfully demoed to IT and Risk Management/IBP stakeholders, earning strong positive feedback and reinforcing confidence in the human-supervised claims decision-support approach. </w:t>
      </w:r>
      <w:r w:rsidR="0063555B" w:rsidRPr="0063555B">
        <w:rPr>
          <w:i/>
          <w:iCs/>
        </w:rPr>
        <w:t>This momentum is helping position TIDE for broader adoption, with the team actively progressing toward a wider rollout while aligning governance, regulatory, and operational requirements.</w:t>
      </w:r>
    </w:p>
    <w:p w14:paraId="37F88C9E" w14:textId="0A1C7CF1" w:rsidR="00F41813" w:rsidRDefault="00977B73">
      <w:pPr>
        <w:pStyle w:val="ListParagraph"/>
        <w:numPr>
          <w:ilvl w:val="0"/>
          <w:numId w:val="6"/>
        </w:numPr>
        <w:spacing w:after="180"/>
      </w:pPr>
      <w:r>
        <w:rPr>
          <w:b/>
          <w:bCs/>
        </w:rPr>
        <w:t xml:space="preserve">Win-on-Waste: </w:t>
      </w:r>
      <w:r>
        <w:t xml:space="preserve">Onboarded five additional specialty venues (Samba Grill, Pier 7, Empire Supper Club, Lincoln Park Supper Club, and a modifier-plus-bar setup for PSBQQ) into the waste-forecasting pipeline with standardized meal-period configurations, completing unit and integration testing and pushing the setups to production. </w:t>
      </w:r>
      <w:r>
        <w:rPr>
          <w:i/>
          <w:iCs/>
        </w:rPr>
        <w:t>Team is continuing specialty-venue onboarding across the remaining required locations</w:t>
      </w:r>
      <w:r w:rsidR="00596334">
        <w:rPr>
          <w:i/>
          <w:iCs/>
        </w:rPr>
        <w:t xml:space="preserve"> to finish WoW project by the end of June (a major milestone)</w:t>
      </w:r>
      <w:r>
        <w:rPr>
          <w:i/>
          <w:iCs/>
        </w:rPr>
        <w:t>.</w:t>
      </w:r>
    </w:p>
    <w:sectPr w:rsidR="00F418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49E"/>
    <w:multiLevelType w:val="multilevel"/>
    <w:tmpl w:val="137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3D46"/>
    <w:multiLevelType w:val="multilevel"/>
    <w:tmpl w:val="D67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E31CA"/>
    <w:multiLevelType w:val="multilevel"/>
    <w:tmpl w:val="9B7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729BD"/>
    <w:multiLevelType w:val="multilevel"/>
    <w:tmpl w:val="C350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87A64"/>
    <w:multiLevelType w:val="multilevel"/>
    <w:tmpl w:val="578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5223D"/>
    <w:multiLevelType w:val="hybridMultilevel"/>
    <w:tmpl w:val="242400B6"/>
    <w:lvl w:ilvl="0" w:tplc="7E4A4900">
      <w:start w:val="1"/>
      <w:numFmt w:val="bullet"/>
      <w:lvlText w:val="●"/>
      <w:lvlJc w:val="left"/>
      <w:pPr>
        <w:ind w:left="720" w:hanging="360"/>
      </w:pPr>
    </w:lvl>
    <w:lvl w:ilvl="1" w:tplc="F552DD28">
      <w:start w:val="1"/>
      <w:numFmt w:val="bullet"/>
      <w:lvlText w:val="○"/>
      <w:lvlJc w:val="left"/>
      <w:pPr>
        <w:ind w:left="1440" w:hanging="360"/>
      </w:pPr>
    </w:lvl>
    <w:lvl w:ilvl="2" w:tplc="C438265A">
      <w:start w:val="1"/>
      <w:numFmt w:val="bullet"/>
      <w:lvlText w:val="■"/>
      <w:lvlJc w:val="left"/>
      <w:pPr>
        <w:ind w:left="2160" w:hanging="360"/>
      </w:pPr>
    </w:lvl>
    <w:lvl w:ilvl="3" w:tplc="955A0D6C">
      <w:start w:val="1"/>
      <w:numFmt w:val="bullet"/>
      <w:lvlText w:val="●"/>
      <w:lvlJc w:val="left"/>
      <w:pPr>
        <w:ind w:left="2880" w:hanging="360"/>
      </w:pPr>
    </w:lvl>
    <w:lvl w:ilvl="4" w:tplc="3906E9E8">
      <w:start w:val="1"/>
      <w:numFmt w:val="bullet"/>
      <w:lvlText w:val="○"/>
      <w:lvlJc w:val="left"/>
      <w:pPr>
        <w:ind w:left="3600" w:hanging="360"/>
      </w:pPr>
    </w:lvl>
    <w:lvl w:ilvl="5" w:tplc="E7043A38">
      <w:start w:val="1"/>
      <w:numFmt w:val="bullet"/>
      <w:lvlText w:val="■"/>
      <w:lvlJc w:val="left"/>
      <w:pPr>
        <w:ind w:left="4320" w:hanging="360"/>
      </w:pPr>
    </w:lvl>
    <w:lvl w:ilvl="6" w:tplc="E354AE2C">
      <w:start w:val="1"/>
      <w:numFmt w:val="bullet"/>
      <w:lvlText w:val="●"/>
      <w:lvlJc w:val="left"/>
      <w:pPr>
        <w:ind w:left="5040" w:hanging="360"/>
      </w:pPr>
    </w:lvl>
    <w:lvl w:ilvl="7" w:tplc="5860B6BA">
      <w:start w:val="1"/>
      <w:numFmt w:val="bullet"/>
      <w:lvlText w:val="●"/>
      <w:lvlJc w:val="left"/>
      <w:pPr>
        <w:ind w:left="5760" w:hanging="360"/>
      </w:pPr>
    </w:lvl>
    <w:lvl w:ilvl="8" w:tplc="A6C0A148">
      <w:start w:val="1"/>
      <w:numFmt w:val="bullet"/>
      <w:lvlText w:val="●"/>
      <w:lvlJc w:val="left"/>
      <w:pPr>
        <w:ind w:left="6480" w:hanging="360"/>
      </w:pPr>
    </w:lvl>
  </w:abstractNum>
  <w:abstractNum w:abstractNumId="6" w15:restartNumberingAfterBreak="0">
    <w:nsid w:val="76F57341"/>
    <w:multiLevelType w:val="multilevel"/>
    <w:tmpl w:val="905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3032F"/>
    <w:multiLevelType w:val="hybridMultilevel"/>
    <w:tmpl w:val="92FEC7DE"/>
    <w:lvl w:ilvl="0" w:tplc="21A0600E">
      <w:start w:val="1"/>
      <w:numFmt w:val="bullet"/>
      <w:lvlText w:val="•"/>
      <w:lvlJc w:val="left"/>
      <w:pPr>
        <w:ind w:left="360" w:hanging="360"/>
      </w:pPr>
    </w:lvl>
    <w:lvl w:ilvl="1" w:tplc="603EBB6E">
      <w:numFmt w:val="decimal"/>
      <w:lvlText w:val=""/>
      <w:lvlJc w:val="left"/>
    </w:lvl>
    <w:lvl w:ilvl="2" w:tplc="2138A992">
      <w:numFmt w:val="decimal"/>
      <w:lvlText w:val=""/>
      <w:lvlJc w:val="left"/>
    </w:lvl>
    <w:lvl w:ilvl="3" w:tplc="E3EC7B88">
      <w:numFmt w:val="decimal"/>
      <w:lvlText w:val=""/>
      <w:lvlJc w:val="left"/>
    </w:lvl>
    <w:lvl w:ilvl="4" w:tplc="996C6E98">
      <w:numFmt w:val="decimal"/>
      <w:lvlText w:val=""/>
      <w:lvlJc w:val="left"/>
    </w:lvl>
    <w:lvl w:ilvl="5" w:tplc="2D907AF8">
      <w:numFmt w:val="decimal"/>
      <w:lvlText w:val=""/>
      <w:lvlJc w:val="left"/>
    </w:lvl>
    <w:lvl w:ilvl="6" w:tplc="F342B138">
      <w:numFmt w:val="decimal"/>
      <w:lvlText w:val=""/>
      <w:lvlJc w:val="left"/>
    </w:lvl>
    <w:lvl w:ilvl="7" w:tplc="31F024A6">
      <w:numFmt w:val="decimal"/>
      <w:lvlText w:val=""/>
      <w:lvlJc w:val="left"/>
    </w:lvl>
    <w:lvl w:ilvl="8" w:tplc="41023D32">
      <w:numFmt w:val="decimal"/>
      <w:lvlText w:val=""/>
      <w:lvlJc w:val="left"/>
    </w:lvl>
  </w:abstractNum>
  <w:num w:numId="1" w16cid:durableId="1061097641">
    <w:abstractNumId w:val="6"/>
  </w:num>
  <w:num w:numId="2" w16cid:durableId="1474055075">
    <w:abstractNumId w:val="4"/>
  </w:num>
  <w:num w:numId="3" w16cid:durableId="15234964">
    <w:abstractNumId w:val="0"/>
  </w:num>
  <w:num w:numId="4" w16cid:durableId="1998655519">
    <w:abstractNumId w:val="5"/>
    <w:lvlOverride w:ilvl="0">
      <w:startOverride w:val="1"/>
    </w:lvlOverride>
  </w:num>
  <w:num w:numId="5" w16cid:durableId="2141995080">
    <w:abstractNumId w:val="3"/>
  </w:num>
  <w:num w:numId="6" w16cid:durableId="656425105">
    <w:abstractNumId w:val="7"/>
    <w:lvlOverride w:ilvl="0">
      <w:startOverride w:val="1"/>
    </w:lvlOverride>
  </w:num>
  <w:num w:numId="7" w16cid:durableId="72777540">
    <w:abstractNumId w:val="1"/>
  </w:num>
  <w:num w:numId="8" w16cid:durableId="888104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813"/>
    <w:rsid w:val="001978AA"/>
    <w:rsid w:val="003156D4"/>
    <w:rsid w:val="00356C09"/>
    <w:rsid w:val="00596334"/>
    <w:rsid w:val="0063555B"/>
    <w:rsid w:val="0078118F"/>
    <w:rsid w:val="008F72FD"/>
    <w:rsid w:val="00977B73"/>
    <w:rsid w:val="00BF2777"/>
    <w:rsid w:val="00D02873"/>
    <w:rsid w:val="00F41813"/>
    <w:rsid w:val="00FD3F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101F9A"/>
  <w15:docId w15:val="{AC11C5E0-BDA7-4B36-B1E3-122B9627A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David Whitney</cp:lastModifiedBy>
  <cp:revision>4</cp:revision>
  <dcterms:created xsi:type="dcterms:W3CDTF">2026-06-12T20:27:00Z</dcterms:created>
  <dcterms:modified xsi:type="dcterms:W3CDTF">2026-06-13T15:58:00Z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2026-06-12T20:27:07Z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2e6ef370-b924-41cc-b650-3dab6100ed0b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