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898A" w14:textId="331C7004" w:rsidR="002E0DA5" w:rsidRPr="002E0DA5" w:rsidRDefault="002E0DA5" w:rsidP="00F73424">
      <w:pPr>
        <w:rPr>
          <w:b/>
          <w:bCs/>
        </w:rPr>
      </w:pPr>
      <w:r w:rsidRPr="002E0DA5">
        <w:rPr>
          <w:b/>
          <w:bCs/>
        </w:rPr>
        <w:t>Business Area Updates:</w:t>
      </w:r>
    </w:p>
    <w:p w14:paraId="344783C4" w14:textId="65382468" w:rsidR="00F73424" w:rsidRPr="00F73424" w:rsidRDefault="00F73424" w:rsidP="00F73424">
      <w:r w:rsidRPr="00F73424">
        <w:t xml:space="preserve">• </w:t>
      </w:r>
      <w:r w:rsidRPr="00F73424">
        <w:rPr>
          <w:b/>
          <w:bCs/>
        </w:rPr>
        <w:t>Axiom (Voice360 / Insights)</w:t>
      </w:r>
      <w:r w:rsidRPr="00F73424">
        <w:t xml:space="preserve">: Transitioned the classification platform from offline modeling to </w:t>
      </w:r>
      <w:r w:rsidRPr="00F73424">
        <w:rPr>
          <w:b/>
          <w:bCs/>
        </w:rPr>
        <w:t>live API deployment within the application</w:t>
      </w:r>
      <w:r w:rsidRPr="00F73424">
        <w:t xml:space="preserve">, marking the first real-time operational use of guest voice data for structured insights. Validated production-grade speech-to-text ingestion and confirmed the global drivers model replaces prior segmentation approaches, improving consistency of decisioning outputs across analytics products. Expanded AI-powered product categorization to increase usable feature coverage for downstream models. </w:t>
      </w:r>
      <w:r w:rsidRPr="00F73424">
        <w:rPr>
          <w:i/>
          <w:iCs/>
        </w:rPr>
        <w:t>Teams are scaling API usage across applications and finalizing reporting integrations tied to upstream mappings.</w:t>
      </w:r>
    </w:p>
    <w:p w14:paraId="314E1A65" w14:textId="77777777" w:rsidR="00F73424" w:rsidRPr="00F73424" w:rsidRDefault="00F73424" w:rsidP="00F73424">
      <w:r w:rsidRPr="00F73424">
        <w:t xml:space="preserve">• </w:t>
      </w:r>
      <w:r w:rsidRPr="00F73424">
        <w:rPr>
          <w:b/>
          <w:bCs/>
        </w:rPr>
        <w:t>Contact Center</w:t>
      </w:r>
      <w:r w:rsidRPr="00F73424">
        <w:t xml:space="preserve">: Advanced workforce planning simulator to ~70% completion, integrating multiple internal data sources to enable scalable FTE planning, improved staffing forecasts, and scenario-based decision support for operations leadership. Repaired broken trade segmentation pipelines and expanded lead scoring inputs, restoring data flows and improving readiness of predictive models supporting contact center sales and service prioritization. Established foundational data consistency across key input datasets, reducing fragmentation in planning workflows. </w:t>
      </w:r>
      <w:r w:rsidRPr="00F73424">
        <w:rPr>
          <w:i/>
          <w:iCs/>
        </w:rPr>
        <w:t>Teams are resolving upstream data gaps blocking shrinkage modeling and enabling full activation of lead scoring within production systems.</w:t>
      </w:r>
    </w:p>
    <w:p w14:paraId="1C57755A" w14:textId="77777777" w:rsidR="00F73424" w:rsidRPr="00F73424" w:rsidRDefault="00F73424" w:rsidP="00F73424">
      <w:r w:rsidRPr="00F73424">
        <w:t xml:space="preserve">• </w:t>
      </w:r>
      <w:r w:rsidRPr="00F73424">
        <w:rPr>
          <w:b/>
          <w:bCs/>
        </w:rPr>
        <w:t>Customer Lifetime Value (CLV)</w:t>
      </w:r>
      <w:r w:rsidRPr="00F73424">
        <w:t xml:space="preserve">: Resolved a critical pipeline defect that nullified ~50% of value indices, restoring accurate cost-to-booking allocation and re-establishing trust in customer value measurement used for commercial decisioning. Extended CLV coverage through 2025 revenue using proxy cost models, ensuring continuity of forward-looking insights while full cost data finalizes. Implemented automated null-detection checks, strengthening pipeline reliability and reducing risk of silent data degradation in future runs. </w:t>
      </w:r>
      <w:r w:rsidRPr="00F73424">
        <w:rPr>
          <w:i/>
          <w:iCs/>
        </w:rPr>
        <w:t>Teams are revalidating the full cost architecture and preparing production deployment of the corrected and extended CLV framework.</w:t>
      </w:r>
    </w:p>
    <w:p w14:paraId="623DBD4F" w14:textId="77777777" w:rsidR="00F73424" w:rsidRPr="00F73424" w:rsidRDefault="00F73424" w:rsidP="00F73424">
      <w:r w:rsidRPr="00F73424">
        <w:t xml:space="preserve">• </w:t>
      </w:r>
      <w:r w:rsidRPr="00F73424">
        <w:rPr>
          <w:b/>
          <w:bCs/>
        </w:rPr>
        <w:t>E-Commerce – Customer Targeting</w:t>
      </w:r>
      <w:r w:rsidRPr="00F73424">
        <w:t xml:space="preserve">: Remediated clickstream ingestion by eliminating duplicate records, brand leakage, and identity inconsistencies, restoring integrity of behavioral data used to power targeting and personalization models. Integrated a large-scale CRM events dataset (~350M rows), significantly expanding feature coverage and improving the depth of customer interaction signals available for modeling. Restored full dashboard reporting and model visibility, improving monitoring and fault tolerance for digital marketing performance. </w:t>
      </w:r>
      <w:r w:rsidRPr="00F73424">
        <w:rPr>
          <w:i/>
          <w:iCs/>
        </w:rPr>
        <w:t>Teams are resolving identity gaps limiting Celebrity modeling performance and enabling full cross-brand targeting consistency.</w:t>
      </w:r>
    </w:p>
    <w:p w14:paraId="759461B4" w14:textId="77777777" w:rsidR="00F73424" w:rsidRPr="00F73424" w:rsidRDefault="00F73424" w:rsidP="00F73424">
      <w:r w:rsidRPr="00F73424">
        <w:t xml:space="preserve">• </w:t>
      </w:r>
      <w:r w:rsidRPr="00F73424">
        <w:rPr>
          <w:b/>
          <w:bCs/>
        </w:rPr>
        <w:t>HR</w:t>
      </w:r>
      <w:r w:rsidRPr="00F73424">
        <w:t xml:space="preserve">: Delivered CAM demand automation forecast to the Capital Committee, reframing the solution from a point ROI tool to an enterprise capability that improves hiring, scheduling, and onboarding decisions across workforce planning functions. Positioned the capability as foundational infrastructure supporting broader labor optimization and operational efficiency, aligning stakeholders on long-term strategic value rather than near-term cost savings. Elevated executive understanding of how demand forecasting can drive staffing precision and reduce operational friction. </w:t>
      </w:r>
      <w:r w:rsidRPr="00F73424">
        <w:rPr>
          <w:i/>
          <w:iCs/>
        </w:rPr>
        <w:t>Teams are refining value articulation and advancing adoption across additional workforce planning use cases and operational scenarios.</w:t>
      </w:r>
    </w:p>
    <w:p w14:paraId="587526B5" w14:textId="7B554591" w:rsidR="00F73424" w:rsidRPr="00F73424" w:rsidRDefault="00F73424" w:rsidP="00F73424">
      <w:r w:rsidRPr="00F73424">
        <w:t xml:space="preserve">• </w:t>
      </w:r>
      <w:r w:rsidRPr="00F73424">
        <w:rPr>
          <w:b/>
          <w:bCs/>
        </w:rPr>
        <w:t>IBP</w:t>
      </w:r>
      <w:r>
        <w:rPr>
          <w:b/>
          <w:bCs/>
        </w:rPr>
        <w:t xml:space="preserve"> (General): </w:t>
      </w:r>
      <w:r w:rsidRPr="00F73424">
        <w:rPr>
          <w:b/>
          <w:bCs/>
        </w:rPr>
        <w:t>IBP program being rebranded as FreshFlow.</w:t>
      </w:r>
      <w:r w:rsidRPr="00F73424">
        <w:t xml:space="preserve"> Transitioned the self-improving forecaster from development into </w:t>
      </w:r>
      <w:r w:rsidRPr="00F73424">
        <w:rPr>
          <w:b/>
          <w:bCs/>
        </w:rPr>
        <w:t>full production deployment</w:t>
      </w:r>
      <w:r w:rsidRPr="00F73424">
        <w:t xml:space="preserve">, delivering measurable reductions in forecast error and enabling live decisioning across supply chain planning workflows. Launched the FreshFlow application in Azure and re-architected pipelines to production-grade, time-gated execution, achieving consistent SLA adherence across ships where prior runs were not fully reliable. Introduced ESG-aware planning capabilities into live workflows, expanding decision inputs beyond cost and demand. </w:t>
      </w:r>
      <w:r w:rsidRPr="00F73424">
        <w:rPr>
          <w:i/>
          <w:iCs/>
        </w:rPr>
        <w:t>Teams are expanding feature sets and validating incremental demand drivers across shore and CocoCay scenarios.</w:t>
      </w:r>
    </w:p>
    <w:p w14:paraId="7FB95210" w14:textId="71724EA9" w:rsidR="00F73424" w:rsidRPr="00F73424" w:rsidRDefault="00F73424" w:rsidP="00F73424">
      <w:r w:rsidRPr="00F73424">
        <w:t xml:space="preserve">• </w:t>
      </w:r>
      <w:r w:rsidRPr="00F73424">
        <w:rPr>
          <w:b/>
          <w:bCs/>
        </w:rPr>
        <w:t>IBP</w:t>
      </w:r>
      <w:r>
        <w:t xml:space="preserve"> (</w:t>
      </w:r>
      <w:r w:rsidRPr="00F73424">
        <w:rPr>
          <w:b/>
          <w:bCs/>
        </w:rPr>
        <w:t>Risk Management</w:t>
      </w:r>
      <w:r>
        <w:rPr>
          <w:b/>
          <w:bCs/>
        </w:rPr>
        <w:t>)</w:t>
      </w:r>
      <w:r w:rsidRPr="00F73424">
        <w:t xml:space="preserve">: Transitioned data ingestion ownership to the centralized Data &amp; AI platform, improving scalability, governance, and long-term sustainability of risk data pipelines. Maintained RPA workflows to ensure operational continuity while aligning ingestion processes with enterprise standards. Strengthened integration between systems, positioning risk analytics for future expansion and automation. </w:t>
      </w:r>
      <w:r w:rsidRPr="00F73424">
        <w:rPr>
          <w:i/>
          <w:iCs/>
        </w:rPr>
        <w:t>Teams are continuing integration of risk datasets into the enterprise platform and standardizing data pipelines.</w:t>
      </w:r>
    </w:p>
    <w:p w14:paraId="215AD263" w14:textId="77777777" w:rsidR="00F73424" w:rsidRPr="00F73424" w:rsidRDefault="00F73424" w:rsidP="00F73424">
      <w:r w:rsidRPr="00F73424">
        <w:t xml:space="preserve">• </w:t>
      </w:r>
      <w:r w:rsidRPr="00F73424">
        <w:rPr>
          <w:b/>
          <w:bCs/>
        </w:rPr>
        <w:t>Loyalty</w:t>
      </w:r>
      <w:r w:rsidRPr="00F73424">
        <w:t xml:space="preserve">: Built pipelines to analyze ~75K problematic MDM merge cases, improving visibility into identity inconsistencies and enabling more accurate resolution of duplicate customer records. Positioned MRE as a validation layer within the merge process, introducing transaction-based checks that strengthen confidence in consolidated customer profiles. Advanced data quality monitoring workflows, improving the reliability of downstream loyalty analytics and personalization use cases. </w:t>
      </w:r>
      <w:r w:rsidRPr="00F73424">
        <w:rPr>
          <w:i/>
          <w:iCs/>
        </w:rPr>
        <w:t>Teams are driving integration toward near-term go-live and validating the full MDM workflow to improve golden record accuracy at scale.</w:t>
      </w:r>
    </w:p>
    <w:p w14:paraId="7BA75392" w14:textId="77777777" w:rsidR="00F73424" w:rsidRPr="00F73424" w:rsidRDefault="00F73424" w:rsidP="00F73424">
      <w:r w:rsidRPr="00F73424">
        <w:t xml:space="preserve">• </w:t>
      </w:r>
      <w:r w:rsidRPr="00F73424">
        <w:rPr>
          <w:b/>
          <w:bCs/>
        </w:rPr>
        <w:t>MIAP (Maritime AI Platform)</w:t>
      </w:r>
      <w:r w:rsidRPr="00F73424">
        <w:t xml:space="preserve">: Advanced from batch-oriented modeling to a </w:t>
      </w:r>
      <w:r w:rsidRPr="00F73424">
        <w:rPr>
          <w:b/>
          <w:bCs/>
        </w:rPr>
        <w:t>real-time streaming calculation engine</w:t>
      </w:r>
      <w:r w:rsidRPr="00F73424">
        <w:t xml:space="preserve">, enabling near real-time ingestion and enrichment of maritime operational data where prior processing was delayed. Improved core fuel and CAC modeling approaches, increasing interpretability and readiness for operational decision use. Expanded digital twin calibration across additional ship classes, increasing fidelity of simulation and optimization outputs versus prior limited coverage. </w:t>
      </w:r>
      <w:r w:rsidRPr="00F73424">
        <w:rPr>
          <w:i/>
          <w:iCs/>
        </w:rPr>
        <w:t>Teams are completing fleet-wide calibration and scaling energy optimization use cases across onboard systems.</w:t>
      </w:r>
    </w:p>
    <w:p w14:paraId="757A0B78" w14:textId="5D3DF702" w:rsidR="00F73424" w:rsidRPr="00F73424" w:rsidRDefault="00F73424" w:rsidP="00F73424">
      <w:r w:rsidRPr="00F73424">
        <w:t xml:space="preserve">• </w:t>
      </w:r>
      <w:r w:rsidRPr="00F73424">
        <w:rPr>
          <w:b/>
          <w:bCs/>
        </w:rPr>
        <w:t>PCP – MyCruise Recommender</w:t>
      </w:r>
      <w:r w:rsidRPr="00F73424">
        <w:t xml:space="preserve">: Delivered a centralized control panel enabling business-managed overrides of recommendation outputs, improving governance, flexibility, and business ownership of customer-facing recommendations. Generalized ranking policy across models and expanded training data windows, strengthening personalization performance and improving recommendation quality for low-volume segments. Validated infrastructure readiness through containerized deployment patterns, enabling scalable production rollout. </w:t>
      </w:r>
      <w:r w:rsidRPr="00F73424">
        <w:rPr>
          <w:i/>
          <w:iCs/>
        </w:rPr>
        <w:t>Teams are validating A/B testing parity between systems and scaling deployment for full production readiness.</w:t>
      </w:r>
    </w:p>
    <w:p w14:paraId="48F58E10" w14:textId="4AD0B761" w:rsidR="00F73424" w:rsidRPr="00F73424" w:rsidRDefault="00F73424" w:rsidP="00F73424">
      <w:r w:rsidRPr="00F73424">
        <w:t xml:space="preserve">• </w:t>
      </w:r>
      <w:r w:rsidRPr="00F73424">
        <w:rPr>
          <w:b/>
          <w:bCs/>
        </w:rPr>
        <w:t>PCP – Pricing Automation</w:t>
      </w:r>
      <w:r w:rsidRPr="00F73424">
        <w:t xml:space="preserve">: Expanded the pricing engine from periodic execution to </w:t>
      </w:r>
      <w:r w:rsidRPr="00F73424">
        <w:rPr>
          <w:b/>
          <w:bCs/>
        </w:rPr>
        <w:t>daily automated recommendation generation</w:t>
      </w:r>
      <w:r w:rsidRPr="00F73424">
        <w:t xml:space="preserve">, scaling output to 230K+ recommendations and materially increasing pricing responsiveness versus prior cadence. </w:t>
      </w:r>
      <w:r w:rsidRPr="00F73424">
        <w:rPr>
          <w:b/>
          <w:bCs/>
        </w:rPr>
        <w:t>Launched POC3 for Targeted Offers across four products (Celebrity Beverage non-US, Celebrity Beverage US, Royal Beverage, Royal Unlimited Dining), marking the first cross-brand, multi-product deployment of targeted pricing logic into live testing.</w:t>
      </w:r>
      <w:r w:rsidRPr="00F73424">
        <w:t xml:space="preserve"> Enhanced targeting and reachability filtering within this framework, improving precision of offer delivery and alignment with customer eligibility constraints. </w:t>
      </w:r>
      <w:r w:rsidRPr="00F73424">
        <w:rPr>
          <w:i/>
          <w:iCs/>
        </w:rPr>
        <w:t>Teams are scaling POC3 results into broader deployment and strengthening QA guardrails to ensure consistency at expanded scale.</w:t>
      </w:r>
    </w:p>
    <w:p w14:paraId="1B388EEE" w14:textId="52B73231" w:rsidR="00F73424" w:rsidRPr="00F73424" w:rsidRDefault="00F73424" w:rsidP="00F73424">
      <w:r w:rsidRPr="00F73424">
        <w:t xml:space="preserve">• </w:t>
      </w:r>
      <w:r w:rsidRPr="00F73424">
        <w:rPr>
          <w:b/>
          <w:bCs/>
        </w:rPr>
        <w:t>PROPEL (Offer Optimization)</w:t>
      </w:r>
      <w:r w:rsidRPr="00F73424">
        <w:t xml:space="preserve">: Evolved the measurement framework by </w:t>
      </w:r>
      <w:r w:rsidRPr="00F73424">
        <w:rPr>
          <w:b/>
          <w:bCs/>
        </w:rPr>
        <w:t>resolving ~3K SKU-level inconsistencies</w:t>
      </w:r>
      <w:r w:rsidRPr="00F73424">
        <w:t xml:space="preserve">, materially improving attribution accuracy compared to prior noisy datasets. Strengthened uplift modeling reliability through refined probability assignment and improved data consistency, increasing confidence in incremental impact measurement. Progressed migration away from legacy infrastructure, improving scalability and maintainability of the platform. </w:t>
      </w:r>
      <w:r w:rsidRPr="00F73424">
        <w:rPr>
          <w:i/>
          <w:iCs/>
        </w:rPr>
        <w:t>Teams are addressing remaining test/control contamination issues and completing platform and interface migration.</w:t>
      </w:r>
    </w:p>
    <w:p w14:paraId="63CFFF40" w14:textId="4360E957" w:rsidR="00F73424" w:rsidRPr="00F73424" w:rsidRDefault="00F73424" w:rsidP="00F73424">
      <w:r w:rsidRPr="00F73424">
        <w:t xml:space="preserve">• </w:t>
      </w:r>
      <w:r w:rsidRPr="00F73424">
        <w:rPr>
          <w:b/>
          <w:bCs/>
        </w:rPr>
        <w:t>Revenue Management (RCI &amp; CEL)</w:t>
      </w:r>
      <w:r w:rsidRPr="00F73424">
        <w:t xml:space="preserve">: Completed the transition from model development to </w:t>
      </w:r>
      <w:r w:rsidRPr="00F73424">
        <w:rPr>
          <w:b/>
          <w:bCs/>
        </w:rPr>
        <w:t>end-to-end production deployment of demand forecasting and elasticity models</w:t>
      </w:r>
      <w:r w:rsidRPr="00F73424">
        <w:t xml:space="preserve">, enabling fully operational pricing decisions based on demand curves rather than partial or offline analysis. Expanded reporting automation and resolved prior inconsistencies in pricing outputs, improving trust and usability for commercial teams. Advanced explainability of pricing recommendations, making outputs more actionable versus prior black-box behavior. </w:t>
      </w:r>
      <w:r w:rsidRPr="00F73424">
        <w:rPr>
          <w:i/>
          <w:iCs/>
        </w:rPr>
        <w:t>Teams are refining GTY pricing logic and extending optimization frameworks across additional scenarios and sailings.</w:t>
      </w:r>
    </w:p>
    <w:p w14:paraId="3D801C55" w14:textId="77777777" w:rsidR="00F73424" w:rsidRPr="00F73424" w:rsidRDefault="00F73424" w:rsidP="00F73424">
      <w:r w:rsidRPr="00F73424">
        <w:t xml:space="preserve">• </w:t>
      </w:r>
      <w:r w:rsidRPr="00F73424">
        <w:rPr>
          <w:b/>
          <w:bCs/>
        </w:rPr>
        <w:t>Revenue Management (SSC)</w:t>
      </w:r>
      <w:r w:rsidRPr="00F73424">
        <w:t xml:space="preserve">: Resolved discrepancies across feature store and capacity calculations, restoring alignment on core pricing metrics and improving confidence in commercial reporting. Delivered enhanced dashboards supporting real-time monitoring of pricing performance and operational decision-making. Improved data consistency across inputs, reducing reconciliation effort and enabling faster analysis cycles. </w:t>
      </w:r>
      <w:r w:rsidRPr="00F73424">
        <w:rPr>
          <w:i/>
          <w:iCs/>
        </w:rPr>
        <w:t>Teams are expanding reporting coverage and validating model inputs across additional datasets and use cases.</w:t>
      </w:r>
    </w:p>
    <w:p w14:paraId="39E910A9" w14:textId="61F1EED7" w:rsidR="00737DB5" w:rsidRPr="00F73424" w:rsidRDefault="00F73424" w:rsidP="00F73424">
      <w:r w:rsidRPr="00F73424">
        <w:t xml:space="preserve">• </w:t>
      </w:r>
      <w:r w:rsidRPr="00F73424">
        <w:rPr>
          <w:b/>
          <w:bCs/>
        </w:rPr>
        <w:t>Win-on-Waste</w:t>
      </w:r>
      <w:r w:rsidRPr="00F73424">
        <w:t xml:space="preserve">: Onboarded multiple new venues and a new ship into the waste optimization pipeline, expanding program coverage and increasing operational impact across the fleet. Completed migration of recipe and system data across legacy platforms, preserving historical continuity and improving consistency of waste tracking and analysis. Resolved configuration mismatches across systems, stabilizing ingestion and improving data reliability for decision-making. </w:t>
      </w:r>
      <w:r w:rsidRPr="00F73424">
        <w:rPr>
          <w:i/>
          <w:iCs/>
        </w:rPr>
        <w:t>Teams are stabilizing system integrations and monitoring ingestion performance to ensure sustained accuracy at scale.</w:t>
      </w:r>
    </w:p>
    <w:sectPr w:rsidR="00737DB5" w:rsidRPr="00F73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7D4"/>
    <w:rsid w:val="002956A2"/>
    <w:rsid w:val="002E0DA5"/>
    <w:rsid w:val="002E1D34"/>
    <w:rsid w:val="0048405E"/>
    <w:rsid w:val="004D0B43"/>
    <w:rsid w:val="00662A12"/>
    <w:rsid w:val="00737DB5"/>
    <w:rsid w:val="00A627D4"/>
    <w:rsid w:val="00F734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05AE2D"/>
  <w15:chartTrackingRefBased/>
  <w15:docId w15:val="{8BC9DBE3-9895-47B5-A902-CCDABCCD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7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7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7D4"/>
    <w:rPr>
      <w:rFonts w:eastAsiaTheme="majorEastAsia" w:cstheme="majorBidi"/>
      <w:color w:val="272727" w:themeColor="text1" w:themeTint="D8"/>
    </w:rPr>
  </w:style>
  <w:style w:type="paragraph" w:styleId="Title">
    <w:name w:val="Title"/>
    <w:basedOn w:val="Normal"/>
    <w:next w:val="Normal"/>
    <w:link w:val="TitleChar"/>
    <w:uiPriority w:val="10"/>
    <w:qFormat/>
    <w:rsid w:val="00A62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7D4"/>
    <w:pPr>
      <w:spacing w:before="160"/>
      <w:jc w:val="center"/>
    </w:pPr>
    <w:rPr>
      <w:i/>
      <w:iCs/>
      <w:color w:val="404040" w:themeColor="text1" w:themeTint="BF"/>
    </w:rPr>
  </w:style>
  <w:style w:type="character" w:customStyle="1" w:styleId="QuoteChar">
    <w:name w:val="Quote Char"/>
    <w:basedOn w:val="DefaultParagraphFont"/>
    <w:link w:val="Quote"/>
    <w:uiPriority w:val="29"/>
    <w:rsid w:val="00A627D4"/>
    <w:rPr>
      <w:i/>
      <w:iCs/>
      <w:color w:val="404040" w:themeColor="text1" w:themeTint="BF"/>
    </w:rPr>
  </w:style>
  <w:style w:type="paragraph" w:styleId="ListParagraph">
    <w:name w:val="List Paragraph"/>
    <w:basedOn w:val="Normal"/>
    <w:uiPriority w:val="34"/>
    <w:qFormat/>
    <w:rsid w:val="00A627D4"/>
    <w:pPr>
      <w:ind w:left="720"/>
      <w:contextualSpacing/>
    </w:pPr>
  </w:style>
  <w:style w:type="character" w:styleId="IntenseEmphasis">
    <w:name w:val="Intense Emphasis"/>
    <w:basedOn w:val="DefaultParagraphFont"/>
    <w:uiPriority w:val="21"/>
    <w:qFormat/>
    <w:rsid w:val="00A627D4"/>
    <w:rPr>
      <w:i/>
      <w:iCs/>
      <w:color w:val="0F4761" w:themeColor="accent1" w:themeShade="BF"/>
    </w:rPr>
  </w:style>
  <w:style w:type="paragraph" w:styleId="IntenseQuote">
    <w:name w:val="Intense Quote"/>
    <w:basedOn w:val="Normal"/>
    <w:next w:val="Normal"/>
    <w:link w:val="IntenseQuoteChar"/>
    <w:uiPriority w:val="30"/>
    <w:qFormat/>
    <w:rsid w:val="00A62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7D4"/>
    <w:rPr>
      <w:i/>
      <w:iCs/>
      <w:color w:val="0F4761" w:themeColor="accent1" w:themeShade="BF"/>
    </w:rPr>
  </w:style>
  <w:style w:type="character" w:styleId="IntenseReference">
    <w:name w:val="Intense Reference"/>
    <w:basedOn w:val="DefaultParagraphFont"/>
    <w:uiPriority w:val="32"/>
    <w:qFormat/>
    <w:rsid w:val="00A627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2026-06-26T16:45:00Z</dcterms:created>
  <dcterms:modified xsi:type="dcterms:W3CDTF">2026-06-29T13:16:00Z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2026-06-26T17:08:20Z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ab237e16-27e0-4904-a089-358d435698ba</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