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APA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(Agentic Process automation)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Agentic=Agen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Automatic=Automatisasi yaitu berkomunkasi secara otomatis.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 yang lebih tingggi dseibut AGI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FLOWISE 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shd w:fill="282c34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