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It seems like the failed and successful groups follow a similar pattern up until Jun to July when there begins to be a shift where we not only have less failed projects but more successes as well but that ends in August when the number of successful projects plummets and from there it stabilizes. Additionally it seems the most successful type of project was a play with World music having the least amount of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Clearly some categories have had way more input than others making things seem very skewed. We also have the limitation of having some projects that are live. A pie chart would have been very helpful here, one for each month perhaps would allow the data to be consumed more easily. Other than the Pie chart I don’t think there are any other tables I would’ve preferred to be used.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challenge I do believe the mean would be a lot better to look at due to how Sporatic the data can be to help Summarize how the funding generally went. There is also a lot more variability with the successful projects which makes some level of sense due to the fact that failing projects probably have more in common than any successful projects, suggesting that the failed groups suffered from a similar downfall.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