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文档编号：POL-0004    版本：V2.2    生效日期：2026-01-18    责任部门：档案业务组</w:t>
      </w:r>
    </w:p>
    <w:p>
      <w:pPr>
        <w:pStyle w:val="Heading1"/>
      </w:pPr>
      <w:r>
        <w:t>一、适用范围</w:t>
      </w:r>
    </w:p>
    <w:p>
      <w:r>
        <w:t>本制度适用于档案业务组及相关协作部门在日常业务中的申请、审批、执行、验收和归档活动。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