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差旅报销管理制度</w:t>
      </w:r>
    </w:p>
    <w:p>
      <w:pPr>
        <w:jc w:val="center"/>
      </w:pPr>
      <w:r>
        <w:t>文档编号：POL-0023    版本：V1.5    生效日期：2026-01-13    责任部门：产品部</w:t>
      </w:r>
    </w:p>
    <w:p>
      <w:pPr>
        <w:pStyle w:val="Heading1"/>
      </w:pPr>
      <w:r>
        <w:t>一、适用范围</w:t>
      </w:r>
    </w:p>
    <w:p>
      <w:r>
        <w:t>本制度适用于产品部及相关协作部门在日常业务中的申请、审批、执行、验收和归档活动。</w:t>
      </w:r>
    </w:p>
    <w:p>
      <w:pPr>
        <w:pStyle w:val="Heading1"/>
      </w:pPr>
      <w:r>
        <w:t>二、申请条件</w:t>
      </w:r>
    </w:p>
    <w:p>
      <w:r>
        <w:t>申请必须同时满足以下条件：</w:t>
      </w:r>
    </w:p>
    <w:p>
      <w:pPr>
        <w:pStyle w:val="ListNumber"/>
      </w:pPr>
      <w:r>
        <w:t>申请事项属于年度预算或已通过专项立项</w:t>
      </w:r>
    </w:p>
    <w:p>
      <w:pPr>
        <w:pStyle w:val="ListNumber"/>
      </w:pPr>
      <w:r>
        <w:t>申请材料完整，包括事由、金额、供应商或业务对象</w:t>
      </w:r>
    </w:p>
    <w:p>
      <w:pPr>
        <w:pStyle w:val="ListNumber"/>
      </w:pPr>
      <w:r>
        <w:t>涉及客户数据时已完成安全评估</w:t>
      </w:r>
    </w:p>
    <w:p>
      <w:pPr>
        <w:pStyle w:val="ListNumber"/>
      </w:pPr>
      <w:r>
        <w:t>审批链路中的部门负责人已确认业务必要性</w:t>
      </w:r>
    </w:p>
    <w:p>
      <w:pPr>
        <w:pStyle w:val="Heading1"/>
      </w:pPr>
      <w:r>
        <w:t>三、审批权限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金额区间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审批人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补充要求</w:t>
            </w:r>
          </w:p>
        </w:tc>
      </w:tr>
      <w:tr>
        <w:tc>
          <w:tcPr>
            <w:tcW w:type="dxa" w:w="2880"/>
          </w:tcPr>
          <w:p>
            <w:r>
              <w:t>不超过 3,000 元</w:t>
            </w:r>
          </w:p>
        </w:tc>
        <w:tc>
          <w:tcPr>
            <w:tcW w:type="dxa" w:w="2880"/>
          </w:tcPr>
          <w:p>
            <w:r>
              <w:t>直属主管</w:t>
            </w:r>
          </w:p>
        </w:tc>
        <w:tc>
          <w:tcPr>
            <w:tcW w:type="dxa" w:w="2880"/>
          </w:tcPr>
          <w:p>
            <w:r>
              <w:t>系统自动归档</w:t>
            </w:r>
          </w:p>
        </w:tc>
      </w:tr>
      <w:tr>
        <w:tc>
          <w:tcPr>
            <w:tcW w:type="dxa" w:w="2880"/>
          </w:tcPr>
          <w:p>
            <w:r>
              <w:t>3,000-50,000 元</w:t>
            </w:r>
          </w:p>
        </w:tc>
        <w:tc>
          <w:tcPr>
            <w:tcW w:type="dxa" w:w="2880"/>
          </w:tcPr>
          <w:p>
            <w:r>
              <w:t>部门负责人</w:t>
            </w:r>
          </w:p>
        </w:tc>
        <w:tc>
          <w:tcPr>
            <w:tcW w:type="dxa" w:w="2880"/>
          </w:tcPr>
          <w:p>
            <w:r>
              <w:t>需上传报价或说明</w:t>
            </w:r>
          </w:p>
        </w:tc>
      </w:tr>
      <w:tr>
        <w:tc>
          <w:tcPr>
            <w:tcW w:type="dxa" w:w="2880"/>
          </w:tcPr>
          <w:p>
            <w:r>
              <w:t>超过 50,000 元</w:t>
            </w:r>
          </w:p>
        </w:tc>
        <w:tc>
          <w:tcPr>
            <w:tcW w:type="dxa" w:w="2880"/>
          </w:tcPr>
          <w:p>
            <w:r>
              <w:t>分管副总</w:t>
            </w:r>
          </w:p>
        </w:tc>
        <w:tc>
          <w:tcPr>
            <w:tcW w:type="dxa" w:w="2880"/>
          </w:tcPr>
          <w:p>
            <w:r>
              <w:t>需至少三家比价或专项说明</w:t>
            </w:r>
          </w:p>
        </w:tc>
      </w:tr>
    </w:tbl>
    <w:p/>
    <w:p>
      <w:pPr>
        <w:pStyle w:val="Heading1"/>
      </w:pPr>
      <w:r>
        <w:t>四、例外处理</w:t>
      </w:r>
    </w:p>
    <w:p>
      <w:r>
        <w:t>因客户现场、监管报送或紧急故障处理导致材料不完整的，可先行提交审批，但必须在 3 个工作日内补齐。</w:t>
      </w:r>
    </w:p>
    <w:p>
      <w:pPr>
        <w:pStyle w:val="Heading1"/>
      </w:pPr>
      <w:r>
        <w:t>五、归档要求</w:t>
      </w:r>
    </w:p>
    <w:p>
      <w:r>
        <w:t>审批通过后的申请单、附件、验收材料和发票应形成完整归档包，并关联业务编号。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