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Microsoft YaHei"/>
          <w:b/>
          <w:sz w:val="36"/>
        </w:rPr>
        <w:t>智能检索能力优化项目软件服务采购合同</w:t>
      </w:r>
    </w:p>
    <w:p>
      <w:pPr>
        <w:jc w:val="center"/>
      </w:pPr>
      <w:r>
        <w:t>合同编号：HT-2026-0104    供应商：粤数信息技术有限公司    合同金额：238 万元</w:t>
      </w:r>
    </w:p>
    <w:p>
      <w:pPr>
        <w:pStyle w:val="Heading1"/>
      </w:pPr>
      <w:r>
        <w:t>一、合同范围</w:t>
      </w:r>
    </w:p>
    <w:p>
      <w:r>
        <w:t>乙方向甲方提供智能检索能力优化项目相关的软件实施、部署、培训、运维和验收支持服务。</w:t>
      </w:r>
    </w:p>
    <w:p>
      <w:pPr>
        <w:pStyle w:val="Heading1"/>
      </w:pPr>
      <w:r>
        <w:t>二、交付成果</w:t>
      </w:r>
    </w:p>
    <w:p>
      <w:pPr>
        <w:pStyle w:val="ListNumber"/>
      </w:pPr>
      <w:r>
        <w:t>系统部署包</w:t>
      </w:r>
    </w:p>
    <w:p>
      <w:pPr>
        <w:pStyle w:val="ListNumber"/>
      </w:pPr>
      <w:r>
        <w:t>用户操作手册</w:t>
      </w:r>
    </w:p>
    <w:p>
      <w:pPr>
        <w:pStyle w:val="ListNumber"/>
      </w:pPr>
      <w:r>
        <w:t>管理员培训材料</w:t>
      </w:r>
    </w:p>
    <w:p>
      <w:pPr>
        <w:pStyle w:val="ListNumber"/>
      </w:pPr>
      <w:r>
        <w:t>初验报告</w:t>
      </w:r>
    </w:p>
    <w:p>
      <w:pPr>
        <w:pStyle w:val="ListNumber"/>
      </w:pPr>
      <w:r>
        <w:t>终验报告</w:t>
      </w:r>
    </w:p>
    <w:p>
      <w:pPr>
        <w:pStyle w:val="ListNumber"/>
      </w:pPr>
      <w:r>
        <w:t>运维交接清单</w:t>
      </w:r>
    </w:p>
    <w:p>
      <w:pPr>
        <w:pStyle w:val="Heading1"/>
      </w:pPr>
      <w:r>
        <w:t>三、付款节点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9EAF7"/>
          </w:tcPr>
          <w:p>
            <w:r>
              <w:rPr>
                <w:rFonts w:ascii="Arial" w:hAnsi="Arial" w:eastAsia="Microsoft YaHei"/>
                <w:b/>
              </w:rPr>
              <w:t>节点</w:t>
            </w:r>
          </w:p>
        </w:tc>
        <w:tc>
          <w:tcPr>
            <w:tcW w:type="dxa" w:w="2160"/>
            <w:shd w:fill="D9EAF7"/>
          </w:tcPr>
          <w:p>
            <w:r>
              <w:rPr>
                <w:rFonts w:ascii="Arial" w:hAnsi="Arial" w:eastAsia="Microsoft YaHei"/>
                <w:b/>
              </w:rPr>
              <w:t>付款比例</w:t>
            </w:r>
          </w:p>
        </w:tc>
        <w:tc>
          <w:tcPr>
            <w:tcW w:type="dxa" w:w="2160"/>
            <w:shd w:fill="D9EAF7"/>
          </w:tcPr>
          <w:p>
            <w:r>
              <w:rPr>
                <w:rFonts w:ascii="Arial" w:hAnsi="Arial" w:eastAsia="Microsoft YaHei"/>
                <w:b/>
              </w:rPr>
              <w:t>付款条件</w:t>
            </w:r>
          </w:p>
        </w:tc>
        <w:tc>
          <w:tcPr>
            <w:tcW w:type="dxa" w:w="2160"/>
            <w:shd w:fill="D9EAF7"/>
          </w:tcPr>
          <w:p>
            <w:r>
              <w:rPr>
                <w:rFonts w:ascii="Arial" w:hAnsi="Arial" w:eastAsia="Microsoft YaHei"/>
                <w:b/>
              </w:rPr>
              <w:t>应提交材料</w:t>
            </w:r>
          </w:p>
        </w:tc>
      </w:tr>
      <w:tr>
        <w:tc>
          <w:tcPr>
            <w:tcW w:type="dxa" w:w="2160"/>
          </w:tcPr>
          <w:p>
            <w:r>
              <w:t>首付款</w:t>
            </w:r>
          </w:p>
        </w:tc>
        <w:tc>
          <w:tcPr>
            <w:tcW w:type="dxa" w:w="2160"/>
          </w:tcPr>
          <w:p>
            <w:r>
              <w:t>30%</w:t>
            </w:r>
          </w:p>
        </w:tc>
        <w:tc>
          <w:tcPr>
            <w:tcW w:type="dxa" w:w="2160"/>
          </w:tcPr>
          <w:p>
            <w:r>
              <w:t>合同签订后 10 个工作日内</w:t>
            </w:r>
          </w:p>
        </w:tc>
        <w:tc>
          <w:tcPr>
            <w:tcW w:type="dxa" w:w="2160"/>
          </w:tcPr>
          <w:p>
            <w:r>
              <w:t>合同扫描件、付款申请</w:t>
            </w:r>
          </w:p>
        </w:tc>
      </w:tr>
      <w:tr>
        <w:tc>
          <w:tcPr>
            <w:tcW w:type="dxa" w:w="2160"/>
          </w:tcPr>
          <w:p>
            <w:r>
              <w:t>上线款</w:t>
            </w:r>
          </w:p>
        </w:tc>
        <w:tc>
          <w:tcPr>
            <w:tcW w:type="dxa" w:w="2160"/>
          </w:tcPr>
          <w:p>
            <w:r>
              <w:t>40%</w:t>
            </w:r>
          </w:p>
        </w:tc>
        <w:tc>
          <w:tcPr>
            <w:tcW w:type="dxa" w:w="2160"/>
          </w:tcPr>
          <w:p>
            <w:r>
              <w:t>试运行完成并通过初验</w:t>
            </w:r>
          </w:p>
        </w:tc>
        <w:tc>
          <w:tcPr>
            <w:tcW w:type="dxa" w:w="2160"/>
          </w:tcPr>
          <w:p>
            <w:r>
              <w:t>初验报告、上线确认单</w:t>
            </w:r>
          </w:p>
        </w:tc>
      </w:tr>
      <w:tr>
        <w:tc>
          <w:tcPr>
            <w:tcW w:type="dxa" w:w="2160"/>
          </w:tcPr>
          <w:p>
            <w:r>
              <w:t>尾款</w:t>
            </w:r>
          </w:p>
        </w:tc>
        <w:tc>
          <w:tcPr>
            <w:tcW w:type="dxa" w:w="2160"/>
          </w:tcPr>
          <w:p>
            <w:r>
              <w:t>30%</w:t>
            </w:r>
          </w:p>
        </w:tc>
        <w:tc>
          <w:tcPr>
            <w:tcW w:type="dxa" w:w="2160"/>
          </w:tcPr>
          <w:p>
            <w:r>
              <w:t>终验通过并稳定运行 30 天</w:t>
            </w:r>
          </w:p>
        </w:tc>
        <w:tc>
          <w:tcPr>
            <w:tcW w:type="dxa" w:w="2160"/>
          </w:tcPr>
          <w:p>
            <w:r>
              <w:t>终验报告、运维交接清单</w:t>
            </w:r>
          </w:p>
        </w:tc>
      </w:tr>
    </w:tbl>
    <w:p/>
    <w:p>
      <w:pPr>
        <w:pStyle w:val="Heading1"/>
      </w:pPr>
      <w:r>
        <w:t>四、数据安全</w:t>
      </w:r>
    </w:p>
    <w:p>
      <w:r>
        <w:t>乙方不得在未经甲方书面许可的情况下，将甲方数据上传至外部公网模型或第三方平台。</w:t>
      </w:r>
    </w:p>
    <w:p>
      <w:r>
        <w:t>为排查问题而临时导出的日志文件，应在问题关闭后 3 个工作日内删除。监管或审计机关依法要求提供原始日志的，不适用前述删除期限。</w:t>
      </w:r>
    </w:p>
    <w:p>
      <w:pPr>
        <w:pStyle w:val="Heading1"/>
      </w:pPr>
      <w:r>
        <w:t>五、违约处理</w:t>
      </w:r>
    </w:p>
    <w:p>
      <w:r>
        <w:t>乙方违反数据安全要求的，甲方有权暂停付款并要求整改；情节严重的，甲方有权解除合同。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Microsoft YaHei"/>
      <w:b/>
      <w:bCs/>
      <w:color w:val="365F91" w:themeColor="accent1" w:themeShade="BF"/>
      <w:sz w:val="21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Microsoft YaHei"/>
      <w:b/>
      <w:bCs/>
      <w:color w:val="4F81BD" w:themeColor="accent1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Microsoft YaHei"/>
      <w:b/>
      <w:bCs/>
      <w:color w:val="4F81BD" w:themeColor="accent1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